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E33882" w:rsidP="00E33882">
      <w:pPr>
        <w:pStyle w:val="RSBodyText"/>
        <w:spacing w:after="0"/>
      </w:pPr>
      <w:r>
        <w:rPr>
          <w:rFonts w:ascii="Verdana" w:hAnsi="Verdana"/>
          <w:noProof/>
          <w:color w:val="2D2A62"/>
          <w:sz w:val="18"/>
          <w:szCs w:val="18"/>
        </w:rPr>
        <w:drawing>
          <wp:inline distT="0" distB="0" distL="0" distR="0">
            <wp:extent cx="4030980" cy="655320"/>
            <wp:effectExtent l="0" t="0" r="0" b="0"/>
            <wp:docPr id="5" name="Picture 5" descr="Columbia University in the City of New York">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ia University in the City of New York">
                      <a:hlinkClick xmlns:r="http://schemas.openxmlformats.org/officeDocument/2006/relationships" r:id="rId5"/>
                    </pic:cNvPr>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4030980" cy="655320"/>
                    </a:xfrm>
                    <a:prstGeom prst="rect">
                      <a:avLst/>
                    </a:prstGeom>
                    <a:noFill/>
                    <a:ln>
                      <a:noFill/>
                    </a:ln>
                  </pic:spPr>
                </pic:pic>
              </a:graphicData>
            </a:graphic>
          </wp:inline>
        </w:drawing>
      </w:r>
    </w:p>
    <w:p w:rsidR="00E33882" w:rsidRPr="004A416C" w:rsidP="00E33882">
      <w:pPr>
        <w:pStyle w:val="RSBodyText"/>
        <w:spacing w:after="0"/>
      </w:pPr>
    </w:p>
    <w:p w:rsidR="00E33882" w:rsidRPr="004A416C" w:rsidP="00E33882">
      <w:pPr>
        <w:pStyle w:val="RSBodyText"/>
        <w:spacing w:after="0"/>
      </w:pPr>
    </w:p>
    <w:p w:rsidR="00E33882" w:rsidRPr="004A416C" w:rsidP="00E33882">
      <w:pPr>
        <w:tabs>
          <w:tab w:val="center" w:pos="4680"/>
        </w:tabs>
        <w:suppressAutoHyphens/>
      </w:pPr>
    </w:p>
    <w:p w:rsidR="00E33882" w:rsidP="00E33882"/>
    <w:p w:rsidR="00CB4A83" w:rsidP="00E33882"/>
    <w:p w:rsidR="00CB4A83" w:rsidRPr="004A416C" w:rsidP="00E33882"/>
    <w:p w:rsidR="00E33882" w:rsidRPr="004A416C" w:rsidP="00E33882"/>
    <w:p w:rsidR="00E33882" w:rsidRPr="00F07ADD" w:rsidP="00E33882">
      <w:pPr>
        <w:jc w:val="center"/>
        <w:rPr>
          <w:b/>
          <w:color w:val="0033A0"/>
        </w:rPr>
      </w:pPr>
      <w:r w:rsidRPr="00F07ADD">
        <w:rPr>
          <w:b/>
          <w:color w:val="0033A0"/>
          <w:sz w:val="44"/>
          <w:szCs w:val="44"/>
        </w:rPr>
        <w:t xml:space="preserve">Overview of Affirmative Action Programs </w:t>
        <w:br/>
      </w:r>
    </w:p>
    <w:p w:rsidR="00CB4A83" w:rsidRPr="00F07ADD" w:rsidP="00E33882">
      <w:pPr>
        <w:jc w:val="center"/>
        <w:rPr>
          <w:b/>
          <w:color w:val="0033A0"/>
        </w:rPr>
      </w:pPr>
    </w:p>
    <w:p w:rsidR="00E33882" w:rsidRPr="00F07ADD" w:rsidP="00E33882">
      <w:pPr>
        <w:jc w:val="center"/>
        <w:rPr>
          <w:color w:val="0033A0"/>
        </w:rPr>
      </w:pPr>
      <w:r w:rsidRPr="00F07ADD" w:rsidR="00255DD5">
        <w:rPr>
          <w:b/>
          <w:color w:val="0033A0"/>
        </w:rPr>
        <w:t>Plan Year:  November 1, 2020 - October 31, 2021</w:t>
      </w:r>
    </w:p>
    <w:p w:rsidR="00E33882" w:rsidRPr="00F07ADD" w:rsidP="00E33882">
      <w:pPr>
        <w:jc w:val="center"/>
        <w:rPr>
          <w:color w:val="0033A0"/>
        </w:rPr>
      </w:pPr>
    </w:p>
    <w:p w:rsidR="00CB4A83" w:rsidRPr="00F07ADD" w:rsidP="00E33882">
      <w:pPr>
        <w:jc w:val="center"/>
        <w:rPr>
          <w:color w:val="0033A0"/>
        </w:rPr>
      </w:pPr>
    </w:p>
    <w:p w:rsidR="00CB4A83" w:rsidRPr="00F07ADD" w:rsidP="00E33882">
      <w:pPr>
        <w:jc w:val="center"/>
        <w:rPr>
          <w:color w:val="0033A0"/>
        </w:rPr>
      </w:pPr>
    </w:p>
    <w:p w:rsidR="00D0291B" w:rsidRPr="00F07ADD" w:rsidP="00E33882">
      <w:pPr>
        <w:jc w:val="center"/>
        <w:rPr>
          <w:color w:val="0033A0"/>
        </w:rPr>
      </w:pPr>
    </w:p>
    <w:p w:rsidR="00D0291B" w:rsidRPr="00F07ADD" w:rsidP="00E33882">
      <w:pPr>
        <w:jc w:val="center"/>
        <w:rPr>
          <w:color w:val="0033A0"/>
        </w:rPr>
      </w:pPr>
    </w:p>
    <w:p w:rsidR="00D0291B" w:rsidRPr="00F07ADD" w:rsidP="00E33882">
      <w:pPr>
        <w:jc w:val="center"/>
        <w:rPr>
          <w:color w:val="0033A0"/>
        </w:rPr>
      </w:pPr>
    </w:p>
    <w:p w:rsidR="00E33882" w:rsidRPr="00F07ADD" w:rsidP="00E33882">
      <w:pPr>
        <w:jc w:val="center"/>
        <w:rPr>
          <w:b/>
          <w:smallCaps/>
          <w:color w:val="0033A0"/>
          <w:sz w:val="36"/>
          <w:szCs w:val="36"/>
        </w:rPr>
      </w:pPr>
      <w:r w:rsidRPr="00F07ADD" w:rsidR="00D0291B">
        <w:rPr>
          <w:b/>
          <w:smallCaps/>
          <w:color w:val="0033A0"/>
          <w:sz w:val="36"/>
          <w:szCs w:val="36"/>
        </w:rPr>
        <w:t>Morningside Campus</w:t>
      </w:r>
    </w:p>
    <w:p w:rsidR="00742A2D" w:rsidRPr="00F07ADD" w:rsidP="00E33882">
      <w:pPr>
        <w:jc w:val="center"/>
        <w:rPr>
          <w:b/>
          <w:smallCaps/>
          <w:color w:val="0033A0"/>
          <w:sz w:val="36"/>
          <w:szCs w:val="36"/>
        </w:rPr>
      </w:pPr>
      <w:r w:rsidRPr="00F07ADD" w:rsidR="00D0291B">
        <w:rPr>
          <w:b/>
          <w:smallCaps/>
          <w:color w:val="0033A0"/>
          <w:sz w:val="36"/>
          <w:szCs w:val="36"/>
        </w:rPr>
        <w:t>Manhattanville Campus</w:t>
      </w:r>
    </w:p>
    <w:p w:rsidR="00D0291B" w:rsidRPr="00F07ADD" w:rsidP="00E33882">
      <w:pPr>
        <w:jc w:val="center"/>
        <w:rPr>
          <w:smallCaps/>
          <w:color w:val="0033A0"/>
          <w:sz w:val="36"/>
          <w:szCs w:val="36"/>
        </w:rPr>
      </w:pPr>
      <w:r w:rsidRPr="00F07ADD">
        <w:rPr>
          <w:b/>
          <w:smallCaps/>
          <w:snapToGrid w:val="0"/>
          <w:color w:val="0033A0"/>
          <w:sz w:val="36"/>
          <w:szCs w:val="36"/>
        </w:rPr>
        <w:t>Columbia University Irving Medical Center</w:t>
      </w:r>
    </w:p>
    <w:p w:rsidR="00D0291B" w:rsidRPr="00F07ADD" w:rsidP="00E33882">
      <w:pPr>
        <w:jc w:val="center"/>
        <w:rPr>
          <w:b/>
          <w:smallCaps/>
          <w:color w:val="0033A0"/>
          <w:spacing w:val="24"/>
          <w:sz w:val="36"/>
          <w:szCs w:val="36"/>
        </w:rPr>
      </w:pPr>
      <w:r w:rsidR="00C66222">
        <w:rPr>
          <w:b/>
          <w:smallCaps/>
          <w:color w:val="0033A0"/>
          <w:sz w:val="36"/>
          <w:szCs w:val="36"/>
        </w:rPr>
        <w:t>Lamont-Doherty Earth Observatory</w:t>
      </w:r>
    </w:p>
    <w:p w:rsidR="00D0291B" w:rsidRPr="00F07ADD" w:rsidP="00E33882">
      <w:pPr>
        <w:jc w:val="center"/>
        <w:rPr>
          <w:b/>
          <w:color w:val="0033A0"/>
          <w:spacing w:val="24"/>
        </w:rPr>
      </w:pPr>
    </w:p>
    <w:p w:rsidR="00CB4A83" w:rsidRPr="00F07ADD" w:rsidP="00E33882">
      <w:pPr>
        <w:jc w:val="center"/>
        <w:rPr>
          <w:b/>
          <w:color w:val="0033A0"/>
          <w:spacing w:val="24"/>
        </w:rPr>
      </w:pPr>
    </w:p>
    <w:p w:rsidR="00CB4A83" w:rsidRPr="00F07ADD" w:rsidP="00E33882">
      <w:pPr>
        <w:jc w:val="center"/>
        <w:rPr>
          <w:b/>
          <w:color w:val="0033A0"/>
          <w:spacing w:val="24"/>
        </w:rPr>
      </w:pPr>
    </w:p>
    <w:p w:rsidR="00D0291B" w:rsidRPr="00F07ADD" w:rsidP="00E33882">
      <w:pPr>
        <w:jc w:val="center"/>
        <w:rPr>
          <w:b/>
          <w:color w:val="0033A0"/>
          <w:spacing w:val="24"/>
        </w:rPr>
      </w:pPr>
    </w:p>
    <w:p w:rsidR="00D0291B" w:rsidRPr="00F07ADD" w:rsidP="00E33882">
      <w:pPr>
        <w:jc w:val="center"/>
        <w:rPr>
          <w:b/>
          <w:color w:val="0033A0"/>
          <w:spacing w:val="24"/>
        </w:rPr>
      </w:pPr>
    </w:p>
    <w:p w:rsidR="00D0291B" w:rsidRPr="00F07ADD" w:rsidP="00E33882">
      <w:pPr>
        <w:jc w:val="center"/>
        <w:rPr>
          <w:b/>
          <w:color w:val="0033A0"/>
          <w:spacing w:val="24"/>
        </w:rPr>
      </w:pPr>
    </w:p>
    <w:p w:rsidR="00D0291B" w:rsidRPr="00F07ADD" w:rsidP="00E33882">
      <w:pPr>
        <w:jc w:val="center"/>
        <w:rPr>
          <w:b/>
          <w:color w:val="0033A0"/>
          <w:spacing w:val="24"/>
        </w:rPr>
      </w:pPr>
    </w:p>
    <w:p w:rsidR="00E33882" w:rsidRPr="00F07ADD" w:rsidP="00E33882">
      <w:pPr>
        <w:jc w:val="center"/>
        <w:rPr>
          <w:b/>
          <w:color w:val="0033A0"/>
          <w:spacing w:val="24"/>
          <w:sz w:val="22"/>
          <w:szCs w:val="22"/>
        </w:rPr>
      </w:pPr>
      <w:r w:rsidRPr="00F07ADD">
        <w:rPr>
          <w:b/>
          <w:color w:val="0033A0"/>
          <w:spacing w:val="24"/>
          <w:sz w:val="22"/>
          <w:szCs w:val="22"/>
        </w:rPr>
        <w:t>OFFICE OF EQUAL OPPORTUNITY AND AFFIRMATIVE ACTION</w:t>
        <w:br/>
      </w:r>
    </w:p>
    <w:p w:rsidR="00ED1AF9" w:rsidRPr="004A416C">
      <w:pPr>
        <w:rPr>
          <w:rFonts w:ascii="Verdana" w:hAnsi="Verdana"/>
          <w:color w:val="0033A0"/>
        </w:rPr>
        <w:sectPr w:rsidSect="0094131B">
          <w:headerReference w:type="even" r:id="rId7"/>
          <w:headerReference w:type="default" r:id="rId8"/>
          <w:footerReference w:type="even" r:id="rId9"/>
          <w:footerReference w:type="default" r:id="rId10"/>
          <w:headerReference w:type="first" r:id="rId11"/>
          <w:footerReference w:type="first" r:id="rId12"/>
          <w:pgSz w:w="12240" w:h="15840" w:code="1"/>
          <w:pgMar w:top="2160" w:right="1440" w:bottom="1440" w:left="1440" w:header="720" w:footer="432" w:gutter="0"/>
          <w:paperSrc w:first="7" w:other="7"/>
          <w:pgNumType w:start="1"/>
          <w:cols w:space="720"/>
          <w:titlePg/>
        </w:sectPr>
      </w:pPr>
    </w:p>
    <w:p w:rsidR="00742A2D" w:rsidRPr="00D17CF6" w:rsidP="00E7332F">
      <w:pPr>
        <w:pStyle w:val="ListParagraph"/>
        <w:numPr>
          <w:ilvl w:val="0"/>
          <w:numId w:val="24"/>
        </w:numPr>
        <w:ind w:left="720"/>
        <w:rPr>
          <w:b/>
          <w:smallCaps/>
          <w:color w:val="0033A0"/>
          <w:sz w:val="22"/>
          <w:szCs w:val="22"/>
        </w:rPr>
      </w:pPr>
      <w:r w:rsidRPr="00D17CF6" w:rsidR="00CB4A83">
        <w:rPr>
          <w:b/>
          <w:smallCaps/>
          <w:color w:val="0033A0"/>
          <w:sz w:val="22"/>
          <w:szCs w:val="22"/>
        </w:rPr>
        <w:t>Introduction</w:t>
      </w:r>
    </w:p>
    <w:p w:rsidR="00742A2D" w:rsidRPr="00D17CF6" w:rsidP="00E7332F">
      <w:pPr>
        <w:rPr>
          <w:sz w:val="22"/>
          <w:szCs w:val="22"/>
        </w:rPr>
      </w:pPr>
    </w:p>
    <w:p w:rsidR="008F2EEB" w:rsidRPr="00D17CF6" w:rsidP="00E7332F">
      <w:pPr>
        <w:rPr>
          <w:sz w:val="22"/>
          <w:szCs w:val="22"/>
        </w:rPr>
      </w:pPr>
      <w:r w:rsidRPr="00D17CF6" w:rsidR="00ED1AF9">
        <w:rPr>
          <w:sz w:val="22"/>
          <w:szCs w:val="22"/>
        </w:rPr>
        <w:t xml:space="preserve">As an institution, Columbia is committed to the principles of equity and excellence.  It actively pursues both, adhering to the belief that equity is the partner of excellence.  In furtherance of this commitment, Columbia's Non-Discrimination Statement and Policies seek to ensure that all employment decisions are based on individual merit and not on bias or stereotypes.  Columbia is also committed to a workforce of faculty and staff that reflects the diversity and talent of New York City, the larger metropolitan area, and the nation.  </w:t>
      </w:r>
    </w:p>
    <w:p w:rsidR="008F2EEB" w:rsidRPr="00D17CF6" w:rsidP="00E7332F">
      <w:pPr>
        <w:ind w:right="720"/>
        <w:rPr>
          <w:sz w:val="22"/>
          <w:szCs w:val="22"/>
        </w:rPr>
      </w:pPr>
    </w:p>
    <w:p w:rsidR="00E12D69" w:rsidRPr="00D17CF6" w:rsidP="00E7332F">
      <w:pPr>
        <w:pStyle w:val="BodyTextIndent"/>
        <w:spacing w:line="240" w:lineRule="auto"/>
        <w:ind w:left="0"/>
        <w:rPr>
          <w:sz w:val="22"/>
          <w:szCs w:val="22"/>
        </w:rPr>
      </w:pPr>
      <w:r w:rsidRPr="00D17CF6">
        <w:rPr>
          <w:sz w:val="22"/>
          <w:szCs w:val="22"/>
        </w:rPr>
        <w:t>Hand</w:t>
      </w:r>
      <w:r w:rsidRPr="00D17CF6">
        <w:rPr>
          <w:sz w:val="22"/>
          <w:szCs w:val="22"/>
        </w:rPr>
        <w:noBreakHyphen/>
        <w:t>in</w:t>
      </w:r>
      <w:r w:rsidRPr="00D17CF6">
        <w:rPr>
          <w:sz w:val="22"/>
          <w:szCs w:val="22"/>
        </w:rPr>
        <w:noBreakHyphen/>
        <w:t>hand with its Non-Discrimination Statement and Policies and with its commitment to diversity are Columbia's affirmative action obligations.  As a recipient of federal government contracts, Columbia is subject to:</w:t>
      </w:r>
    </w:p>
    <w:p w:rsidR="00AD39E9" w:rsidRPr="00D17CF6" w:rsidP="00E7332F">
      <w:pPr>
        <w:pStyle w:val="BodyTextIndent"/>
        <w:numPr>
          <w:ilvl w:val="0"/>
          <w:numId w:val="17"/>
        </w:numPr>
        <w:spacing w:after="0" w:line="240" w:lineRule="auto"/>
        <w:rPr>
          <w:sz w:val="22"/>
          <w:szCs w:val="22"/>
        </w:rPr>
      </w:pPr>
      <w:r w:rsidRPr="00D17CF6">
        <w:rPr>
          <w:sz w:val="22"/>
          <w:szCs w:val="22"/>
        </w:rPr>
        <w:t>Executive Order 11246</w:t>
      </w:r>
    </w:p>
    <w:p w:rsidR="00AD39E9" w:rsidRPr="00D17CF6" w:rsidP="00E7332F">
      <w:pPr>
        <w:pStyle w:val="BodyTextIndent"/>
        <w:numPr>
          <w:ilvl w:val="0"/>
          <w:numId w:val="17"/>
        </w:numPr>
        <w:spacing w:after="0" w:line="240" w:lineRule="auto"/>
        <w:rPr>
          <w:sz w:val="22"/>
          <w:szCs w:val="22"/>
        </w:rPr>
      </w:pPr>
      <w:r w:rsidRPr="00D17CF6">
        <w:rPr>
          <w:sz w:val="22"/>
          <w:szCs w:val="22"/>
        </w:rPr>
        <w:t>Section 503 of the Rehabilitation Act (Section 503)</w:t>
      </w:r>
    </w:p>
    <w:p w:rsidR="00AD39E9" w:rsidRPr="00D17CF6" w:rsidP="00E7332F">
      <w:pPr>
        <w:pStyle w:val="BodyTextIndent"/>
        <w:numPr>
          <w:ilvl w:val="0"/>
          <w:numId w:val="17"/>
        </w:numPr>
        <w:spacing w:after="0" w:line="240" w:lineRule="auto"/>
        <w:rPr>
          <w:sz w:val="22"/>
          <w:szCs w:val="22"/>
        </w:rPr>
      </w:pPr>
      <w:r w:rsidRPr="00D17CF6">
        <w:rPr>
          <w:sz w:val="22"/>
          <w:szCs w:val="22"/>
        </w:rPr>
        <w:t>Vietnam Era Veterans' Readjustment Assistance Act of 1974 (VEVRAA)</w:t>
      </w:r>
    </w:p>
    <w:p w:rsidR="00AD39E9" w:rsidRPr="00D17CF6" w:rsidP="00E7332F">
      <w:pPr>
        <w:pStyle w:val="BodyTextIndent"/>
        <w:tabs>
          <w:tab w:val="clear" w:pos="1440"/>
        </w:tabs>
        <w:spacing w:after="0" w:line="240" w:lineRule="auto"/>
        <w:ind w:left="0"/>
        <w:rPr>
          <w:sz w:val="22"/>
          <w:szCs w:val="22"/>
        </w:rPr>
      </w:pPr>
    </w:p>
    <w:p w:rsidR="00AD39E9" w:rsidRPr="00D17CF6" w:rsidP="00E7332F">
      <w:pPr>
        <w:pStyle w:val="BodyTextIndent"/>
        <w:spacing w:line="240" w:lineRule="auto"/>
        <w:ind w:left="0"/>
        <w:rPr>
          <w:sz w:val="22"/>
          <w:szCs w:val="22"/>
        </w:rPr>
      </w:pPr>
      <w:r w:rsidRPr="00D17CF6" w:rsidR="009272E1">
        <w:rPr>
          <w:sz w:val="22"/>
          <w:szCs w:val="22"/>
        </w:rPr>
        <w:t>Each has a non-discrimination element and an affirmative action element, requiring that federal government contractors:</w:t>
      </w:r>
    </w:p>
    <w:p w:rsidR="00AD39E9" w:rsidRPr="00D17CF6" w:rsidP="00E7332F">
      <w:pPr>
        <w:pStyle w:val="BodyTextIndent"/>
        <w:numPr>
          <w:ilvl w:val="0"/>
          <w:numId w:val="18"/>
        </w:numPr>
        <w:spacing w:line="240" w:lineRule="auto"/>
        <w:rPr>
          <w:sz w:val="22"/>
          <w:szCs w:val="22"/>
        </w:rPr>
      </w:pPr>
      <w:r w:rsidRPr="00D17CF6" w:rsidR="00ED1A0A">
        <w:rPr>
          <w:sz w:val="22"/>
          <w:szCs w:val="22"/>
        </w:rPr>
        <w:t xml:space="preserve">not discriminate against any employee or applicant for employment because: </w:t>
        <w:br/>
        <w:t>(i) "of race, color, religion, sex, sexual orientation, gender identity or national origin";</w:t>
        <w:br/>
        <w:t>(ii) "of physical or mental disability in regard to any position for which the employee or applicant for employment is qualified"; or</w:t>
        <w:br/>
        <w:t>(iii) "he or she is a disabled veteran, recently separated veteran, active duty wartime or campaign badge veteran, or Armed Forces service medal veteran (hereinafter collectively referred to as 'protected veteran(s)') in regard to any position for which the employee or applicant for employment is qualified".</w:t>
      </w:r>
    </w:p>
    <w:p w:rsidR="00981837" w:rsidRPr="00D17CF6" w:rsidP="00E7332F">
      <w:pPr>
        <w:pStyle w:val="BodyTextIndent"/>
        <w:numPr>
          <w:ilvl w:val="0"/>
          <w:numId w:val="18"/>
        </w:numPr>
        <w:spacing w:after="0" w:line="240" w:lineRule="auto"/>
        <w:rPr>
          <w:sz w:val="22"/>
          <w:szCs w:val="22"/>
        </w:rPr>
      </w:pPr>
      <w:r w:rsidRPr="00D17CF6">
        <w:rPr>
          <w:sz w:val="22"/>
          <w:szCs w:val="22"/>
        </w:rPr>
        <w:t>take affirmative action --</w:t>
        <w:br/>
        <w:t>(i) "to ensure that applicants are employed, and that employees are treated during employment, without regard to their race, color, religion, sex, sexual orientation, gender identity or national origin"'</w:t>
        <w:br/>
        <w:t>(ii) "to employ, advance in employment and otherwise treat qualified individuals with disabilities without discrimination based on their physical or mental disability in all employment practices"; and</w:t>
        <w:br/>
        <w:t>(iii) to employ, advance in employment and otherwise treat qualified individuals without discrimination based on their status as a protected veteran in all employment practices".</w:t>
      </w:r>
    </w:p>
    <w:p w:rsidR="00981837" w:rsidRPr="00D17CF6" w:rsidP="00E7332F">
      <w:pPr>
        <w:pStyle w:val="ListParagraph"/>
        <w:contextualSpacing w:val="0"/>
        <w:rPr>
          <w:sz w:val="22"/>
          <w:szCs w:val="22"/>
          <w:highlight w:val="yellow"/>
        </w:rPr>
      </w:pPr>
    </w:p>
    <w:p w:rsidR="00CF3C26" w:rsidRPr="00D17CF6" w:rsidP="00E7332F">
      <w:pPr>
        <w:pStyle w:val="BodyTextIndent"/>
        <w:spacing w:after="0" w:line="240" w:lineRule="auto"/>
        <w:ind w:left="0"/>
        <w:rPr>
          <w:sz w:val="22"/>
          <w:szCs w:val="22"/>
        </w:rPr>
      </w:pPr>
      <w:r w:rsidRPr="00D17CF6">
        <w:rPr>
          <w:sz w:val="22"/>
          <w:szCs w:val="22"/>
        </w:rPr>
        <w:t xml:space="preserve">The U.S. Department of Labor's implementing regulations to the Executive Order, Section 503 of the Rehabilitation Act, and VEVRAA each require that government contractors maintain written Affirmative Action Programs.  </w:t>
      </w:r>
    </w:p>
    <w:p w:rsidR="00CF3C26" w:rsidRPr="00D17CF6" w:rsidP="00E7332F">
      <w:pPr>
        <w:pStyle w:val="BodyTextIndent"/>
        <w:spacing w:after="0" w:line="240" w:lineRule="auto"/>
        <w:ind w:left="0"/>
        <w:rPr>
          <w:sz w:val="22"/>
          <w:szCs w:val="22"/>
        </w:rPr>
      </w:pPr>
    </w:p>
    <w:p w:rsidR="00CF3C26" w:rsidRPr="00D17CF6" w:rsidP="00E7332F">
      <w:pPr>
        <w:pStyle w:val="BodyTextIndent"/>
        <w:spacing w:after="0" w:line="240" w:lineRule="auto"/>
        <w:ind w:left="0"/>
        <w:rPr>
          <w:sz w:val="22"/>
          <w:szCs w:val="22"/>
        </w:rPr>
      </w:pPr>
      <w:r w:rsidRPr="00D17CF6">
        <w:rPr>
          <w:sz w:val="22"/>
          <w:szCs w:val="22"/>
        </w:rPr>
        <w:t xml:space="preserve">For over three decades, Columbia has maintained and has annually updated Affirmative Action Programs.  Today, such Programs are maintained for each of its four Campuses -- the Morningside Campus; the Manhattanville Campus; the Columbia University Irving Medical Center; and the Lamont-Doherty Earth Observatory.   </w:t>
      </w:r>
    </w:p>
    <w:p w:rsidR="00CF3C26" w:rsidRPr="00D17CF6" w:rsidP="00E7332F">
      <w:pPr>
        <w:pStyle w:val="BodyTextIndent"/>
        <w:spacing w:after="0" w:line="240" w:lineRule="auto"/>
        <w:ind w:left="0"/>
        <w:rPr>
          <w:sz w:val="22"/>
          <w:szCs w:val="22"/>
        </w:rPr>
      </w:pPr>
    </w:p>
    <w:p w:rsidR="00CF3C26" w:rsidRPr="00D17CF6" w:rsidP="00E7332F">
      <w:pPr>
        <w:pStyle w:val="BodyTextIndent"/>
        <w:keepNext/>
        <w:numPr>
          <w:ilvl w:val="0"/>
          <w:numId w:val="24"/>
        </w:numPr>
        <w:spacing w:after="0" w:line="240" w:lineRule="auto"/>
        <w:ind w:left="720"/>
        <w:rPr>
          <w:b/>
          <w:smallCaps/>
          <w:color w:val="0033A0"/>
          <w:sz w:val="22"/>
          <w:szCs w:val="22"/>
        </w:rPr>
      </w:pPr>
      <w:r w:rsidRPr="00D17CF6">
        <w:rPr>
          <w:b/>
          <w:smallCaps/>
          <w:color w:val="0033A0"/>
          <w:sz w:val="22"/>
          <w:szCs w:val="22"/>
        </w:rPr>
        <w:t xml:space="preserve">What is an Affirmative Action Program </w:t>
      </w:r>
    </w:p>
    <w:p w:rsidR="00CF3C26" w:rsidRPr="00D17CF6" w:rsidP="00E7332F">
      <w:pPr>
        <w:pStyle w:val="BodyTextIndent"/>
        <w:keepNext/>
        <w:spacing w:after="0" w:line="240" w:lineRule="auto"/>
        <w:ind w:left="1080"/>
        <w:rPr>
          <w:sz w:val="22"/>
          <w:szCs w:val="22"/>
        </w:rPr>
      </w:pPr>
    </w:p>
    <w:p w:rsidR="00770074" w:rsidRPr="00D17CF6" w:rsidP="00E7332F">
      <w:pPr>
        <w:pStyle w:val="BodyTextIndent"/>
        <w:tabs>
          <w:tab w:val="clear" w:pos="1440"/>
        </w:tabs>
        <w:spacing w:after="0" w:line="240" w:lineRule="auto"/>
        <w:ind w:left="0"/>
        <w:rPr>
          <w:sz w:val="22"/>
          <w:szCs w:val="22"/>
        </w:rPr>
      </w:pPr>
      <w:r w:rsidRPr="00D17CF6">
        <w:rPr>
          <w:sz w:val="22"/>
          <w:szCs w:val="22"/>
        </w:rPr>
        <w:t>The central premise underlying affirmative action is that "absent discrimination, over time a contractor's workforce, generally, will reflect the gender, racial and ethnic profile of the labor pools from which the contractor recruits and selects."  41 C.F.R. § 60</w:t>
      </w:r>
      <w:r w:rsidRPr="00D17CF6">
        <w:rPr>
          <w:sz w:val="22"/>
          <w:szCs w:val="22"/>
        </w:rPr>
        <w:noBreakHyphen/>
        <w:t xml:space="preserve">2.10(a).  As such, an Affirmative Action Program is "a set of specific and result-oriented procedures to which a contractor commits itself . . . to achieve prompt and full utilization of minorities and women at all levels and all segments of the workforce where deficiencies exist."  A Program is to contain a Narrative component and a Numbers component.  </w:t>
      </w:r>
    </w:p>
    <w:p w:rsidR="00770074" w:rsidRPr="00D17CF6" w:rsidP="00E7332F">
      <w:pPr>
        <w:rPr>
          <w:sz w:val="22"/>
          <w:szCs w:val="22"/>
        </w:rPr>
      </w:pPr>
    </w:p>
    <w:p w:rsidR="00ED1AF9" w:rsidRPr="00D17CF6" w:rsidP="00E7332F">
      <w:pPr>
        <w:keepLines/>
        <w:spacing w:after="240"/>
        <w:rPr>
          <w:sz w:val="22"/>
          <w:szCs w:val="22"/>
        </w:rPr>
      </w:pPr>
      <w:r w:rsidRPr="00173490">
        <w:rPr>
          <w:i/>
          <w:sz w:val="22"/>
          <w:szCs w:val="22"/>
        </w:rPr>
        <w:t>Note:</w:t>
      </w:r>
      <w:r w:rsidRPr="00D17CF6">
        <w:rPr>
          <w:sz w:val="22"/>
          <w:szCs w:val="22"/>
        </w:rPr>
        <w:t xml:space="preserve">  The maintenance of an Affirmative Action Programs is required by law, and should not in any way be construed as an admission of a violation of any applicable federal, state, or local statute or regulation.  An Affirmative Action Program also does not constitute an express or implied contract between a federal government contractor and any employee or applicant for employment.  </w:t>
      </w:r>
    </w:p>
    <w:p w:rsidR="00ED1AF9" w:rsidRPr="00D17CF6" w:rsidP="00E7332F">
      <w:pPr>
        <w:pStyle w:val="ListParagraph"/>
        <w:keepNext/>
        <w:numPr>
          <w:ilvl w:val="0"/>
          <w:numId w:val="24"/>
        </w:numPr>
        <w:ind w:left="720"/>
        <w:rPr>
          <w:b/>
          <w:smallCaps/>
          <w:color w:val="0033A0"/>
          <w:sz w:val="22"/>
          <w:szCs w:val="22"/>
        </w:rPr>
      </w:pPr>
      <w:r w:rsidRPr="00D17CF6">
        <w:rPr>
          <w:b/>
          <w:smallCaps/>
          <w:color w:val="0033A0"/>
          <w:sz w:val="22"/>
          <w:szCs w:val="22"/>
        </w:rPr>
        <w:t>The Numbers Component of Columbia's Executive Order Programs</w:t>
      </w:r>
    </w:p>
    <w:p w:rsidR="00A66157" w:rsidRPr="00D17CF6" w:rsidP="00E7332F">
      <w:pPr>
        <w:pStyle w:val="ListParagraph"/>
        <w:keepNext/>
        <w:ind w:left="1080"/>
        <w:rPr>
          <w:sz w:val="22"/>
          <w:szCs w:val="22"/>
        </w:rPr>
      </w:pPr>
    </w:p>
    <w:p w:rsidR="00ED1AF9" w:rsidRPr="00D17CF6" w:rsidP="00E7332F">
      <w:pPr>
        <w:rPr>
          <w:sz w:val="22"/>
          <w:szCs w:val="22"/>
        </w:rPr>
      </w:pPr>
      <w:r w:rsidRPr="00D17CF6">
        <w:rPr>
          <w:sz w:val="22"/>
          <w:szCs w:val="22"/>
        </w:rPr>
        <w:t xml:space="preserve">In order to evaluate the composition of the workforce and compare it to the labor pools, both internal and external, from which employees are recruited and selected, an Executive Order Affirmative Action Program must include various quantitative analyses.   </w:t>
      </w:r>
    </w:p>
    <w:p w:rsidR="00ED1AF9" w:rsidRPr="00D17CF6" w:rsidP="00E7332F">
      <w:pPr>
        <w:rPr>
          <w:sz w:val="22"/>
          <w:szCs w:val="22"/>
        </w:rPr>
      </w:pPr>
    </w:p>
    <w:p w:rsidR="00ED1AF9" w:rsidRPr="00D17CF6" w:rsidP="00E7332F">
      <w:pPr>
        <w:keepNext/>
        <w:ind w:firstLine="720"/>
        <w:rPr>
          <w:b/>
          <w:smallCaps/>
          <w:color w:val="0033A0"/>
          <w:sz w:val="22"/>
          <w:szCs w:val="22"/>
        </w:rPr>
      </w:pPr>
      <w:r w:rsidRPr="00D17CF6">
        <w:rPr>
          <w:b/>
          <w:smallCaps/>
          <w:color w:val="0033A0"/>
          <w:sz w:val="22"/>
          <w:szCs w:val="22"/>
        </w:rPr>
        <w:t>A.</w:t>
        <w:tab/>
      </w:r>
      <w:r w:rsidRPr="00D17CF6" w:rsidR="00A66157">
        <w:rPr>
          <w:b/>
          <w:color w:val="0033A0"/>
          <w:sz w:val="22"/>
          <w:szCs w:val="22"/>
        </w:rPr>
        <w:t>Job Group Analysis</w:t>
      </w:r>
      <w:r w:rsidRPr="00D17CF6" w:rsidR="00A66157">
        <w:rPr>
          <w:b/>
          <w:smallCaps/>
          <w:color w:val="0033A0"/>
          <w:sz w:val="22"/>
          <w:szCs w:val="22"/>
        </w:rPr>
        <w:t xml:space="preserve"> </w:t>
      </w:r>
    </w:p>
    <w:p w:rsidR="00ED1AF9" w:rsidRPr="00D17CF6" w:rsidP="00E7332F">
      <w:pPr>
        <w:keepNext/>
        <w:rPr>
          <w:sz w:val="22"/>
          <w:szCs w:val="22"/>
        </w:rPr>
      </w:pPr>
    </w:p>
    <w:p w:rsidR="00ED1AF9" w:rsidRPr="00D17CF6" w:rsidP="00E7332F">
      <w:pPr>
        <w:rPr>
          <w:sz w:val="22"/>
          <w:szCs w:val="22"/>
        </w:rPr>
      </w:pPr>
      <w:r w:rsidRPr="00D17CF6">
        <w:rPr>
          <w:sz w:val="22"/>
          <w:szCs w:val="22"/>
        </w:rPr>
        <w:t xml:space="preserve">The first step in the comparison of the representation of Women relative to Men and of Minorities relative to Non-Minorities in the workforce is a Job Group Analysis.  Such an Analysis involves the combining of Job Titles with similar content, wage rates, and opportunities -- into a Job Group.  Among the relevant factors that should be taken into account when establishing Job Groups are:  (i) the duties and responsibilities of jobs; and (ii) the training, transfers, promotions, pay, mobility, and other career opportunities.  </w:t>
      </w:r>
    </w:p>
    <w:p w:rsidR="00ED1AF9" w:rsidRPr="00D17CF6" w:rsidP="00E7332F">
      <w:pPr>
        <w:rPr>
          <w:sz w:val="22"/>
          <w:szCs w:val="22"/>
        </w:rPr>
      </w:pPr>
    </w:p>
    <w:p w:rsidR="00ED1AF9" w:rsidRPr="00D17CF6" w:rsidP="00E7332F">
      <w:pPr>
        <w:keepNext/>
        <w:spacing w:after="120"/>
        <w:rPr>
          <w:sz w:val="22"/>
          <w:szCs w:val="22"/>
        </w:rPr>
      </w:pPr>
      <w:r w:rsidRPr="00D17CF6">
        <w:rPr>
          <w:sz w:val="22"/>
          <w:szCs w:val="22"/>
        </w:rPr>
        <w:t xml:space="preserve">Columbia's Job Group Analyses for its four Campuses are summarized as follows:  </w:t>
      </w:r>
    </w:p>
    <w:p w:rsidR="004F03DF" w:rsidRPr="00096518" w:rsidP="00E7332F">
      <w:pPr>
        <w:numPr>
          <w:ilvl w:val="0"/>
          <w:numId w:val="15"/>
        </w:numPr>
        <w:tabs>
          <w:tab w:val="num" w:pos="720"/>
          <w:tab w:val="clear" w:pos="1440"/>
        </w:tabs>
        <w:spacing w:after="120"/>
        <w:ind w:left="720"/>
        <w:rPr>
          <w:sz w:val="22"/>
          <w:szCs w:val="22"/>
        </w:rPr>
      </w:pPr>
      <w:r w:rsidRPr="00096518" w:rsidR="00555B0F">
        <w:rPr>
          <w:rFonts w:eastAsia="Batang"/>
          <w:color w:val="0033A0"/>
          <w:sz w:val="22"/>
          <w:szCs w:val="22"/>
        </w:rPr>
        <w:t xml:space="preserve">Officers of Instruction </w:t>
      </w:r>
      <w:r w:rsidRPr="00096518" w:rsidR="00555B0F">
        <w:rPr>
          <w:rFonts w:eastAsia="Batang"/>
          <w:color w:val="1F497D" w:themeColor="text2"/>
          <w:sz w:val="22"/>
          <w:szCs w:val="22"/>
        </w:rPr>
        <w:t xml:space="preserve">-- </w:t>
      </w:r>
      <w:r w:rsidRPr="00096518">
        <w:rPr>
          <w:rFonts w:eastAsia="Batang"/>
          <w:sz w:val="22"/>
          <w:szCs w:val="22"/>
        </w:rPr>
        <w:t xml:space="preserve">There are up to six Job Groups </w:t>
      </w:r>
      <w:r w:rsidRPr="00096518">
        <w:rPr>
          <w:sz w:val="22"/>
          <w:szCs w:val="22"/>
        </w:rPr>
        <w:t>for each Academic Department and/or School.  They are</w:t>
      </w:r>
      <w:r w:rsidRPr="00096518">
        <w:rPr>
          <w:rFonts w:eastAsia="Batang"/>
          <w:sz w:val="22"/>
          <w:szCs w:val="22"/>
        </w:rPr>
        <w:t>:  (i) </w:t>
      </w:r>
      <w:r w:rsidRPr="00096518" w:rsidR="00173490">
        <w:rPr>
          <w:sz w:val="22"/>
          <w:szCs w:val="22"/>
        </w:rPr>
        <w:t>Tenured Faculty; (ii) Non</w:t>
      </w:r>
      <w:r w:rsidRPr="00096518" w:rsidR="00173490">
        <w:rPr>
          <w:sz w:val="22"/>
          <w:szCs w:val="22"/>
        </w:rPr>
        <w:noBreakHyphen/>
        <w:t>Tenured / Tenure Track Faculty; (iii) Practice Faculty; (iv) Clinical Faculty; (v) Special Instructional Faculty; and (vi) Adjunct Faculty.</w:t>
      </w:r>
    </w:p>
    <w:p w:rsidR="00ED1AF9" w:rsidRPr="00096518" w:rsidP="00E7332F">
      <w:pPr>
        <w:numPr>
          <w:ilvl w:val="0"/>
          <w:numId w:val="15"/>
        </w:numPr>
        <w:tabs>
          <w:tab w:val="num" w:pos="720"/>
          <w:tab w:val="clear" w:pos="1440"/>
        </w:tabs>
        <w:spacing w:after="120"/>
        <w:ind w:left="720"/>
        <w:rPr>
          <w:sz w:val="22"/>
          <w:szCs w:val="22"/>
        </w:rPr>
      </w:pPr>
      <w:r w:rsidRPr="00096518">
        <w:rPr>
          <w:color w:val="0033A0"/>
          <w:sz w:val="22"/>
          <w:szCs w:val="22"/>
        </w:rPr>
        <w:t xml:space="preserve">Officers of Research </w:t>
      </w:r>
      <w:r w:rsidRPr="00096518" w:rsidR="009F3886">
        <w:rPr>
          <w:sz w:val="22"/>
          <w:szCs w:val="22"/>
        </w:rPr>
        <w:t xml:space="preserve">-- There are </w:t>
      </w:r>
      <w:r w:rsidRPr="00096518" w:rsidR="009F3886">
        <w:rPr>
          <w:rFonts w:eastAsia="Batang"/>
          <w:sz w:val="22"/>
          <w:szCs w:val="22"/>
        </w:rPr>
        <w:t xml:space="preserve">up to six Job Groups </w:t>
      </w:r>
      <w:r w:rsidRPr="00096518" w:rsidR="003A3D99">
        <w:rPr>
          <w:sz w:val="22"/>
          <w:szCs w:val="22"/>
        </w:rPr>
        <w:t>for each Academic Department and/or School</w:t>
      </w:r>
      <w:r w:rsidRPr="00096518">
        <w:rPr>
          <w:rFonts w:eastAsia="Batang"/>
          <w:sz w:val="22"/>
          <w:szCs w:val="22"/>
        </w:rPr>
        <w:t>.  They are: (i)</w:t>
      </w:r>
      <w:r w:rsidRPr="00096518">
        <w:rPr>
          <w:sz w:val="22"/>
          <w:szCs w:val="22"/>
        </w:rPr>
        <w:t> Senior Research Scientist; (ii) Research Scientist; (iii) Associate Research Scientist; (iv) Postdoctoral Research Scientist; (v) Staff Associate; and (vi) Part</w:t>
      </w:r>
      <w:r w:rsidRPr="00096518">
        <w:rPr>
          <w:sz w:val="22"/>
          <w:szCs w:val="22"/>
        </w:rPr>
        <w:noBreakHyphen/>
        <w:t xml:space="preserve">Time Officer of Research.  </w:t>
      </w:r>
    </w:p>
    <w:p w:rsidR="00ED1AF9" w:rsidRPr="00096518" w:rsidP="00E7332F">
      <w:pPr>
        <w:numPr>
          <w:ilvl w:val="0"/>
          <w:numId w:val="15"/>
        </w:numPr>
        <w:tabs>
          <w:tab w:val="num" w:pos="720"/>
          <w:tab w:val="clear" w:pos="1440"/>
        </w:tabs>
        <w:spacing w:after="120"/>
        <w:ind w:left="720"/>
        <w:rPr>
          <w:sz w:val="22"/>
          <w:szCs w:val="22"/>
        </w:rPr>
      </w:pPr>
      <w:r w:rsidRPr="00096518">
        <w:rPr>
          <w:color w:val="0033A0"/>
          <w:sz w:val="22"/>
          <w:szCs w:val="22"/>
        </w:rPr>
        <w:t xml:space="preserve">Officers of the Libraries </w:t>
      </w:r>
      <w:r w:rsidRPr="00096518" w:rsidR="004F10FC">
        <w:rPr>
          <w:sz w:val="22"/>
          <w:szCs w:val="22"/>
        </w:rPr>
        <w:t>-- There are up to seven Job Groups: (i) University Librarians; (ii) Library Directors; (iii) Library Department Heads; (iv) Library Archivists; (v) Library Specialists; (vi) Library Catalogers and Curator, and (vii) Library Officers.</w:t>
      </w:r>
    </w:p>
    <w:p w:rsidR="00A03745" w:rsidRPr="00D17CF6" w:rsidP="00E7332F">
      <w:pPr>
        <w:keepNext/>
        <w:numPr>
          <w:ilvl w:val="0"/>
          <w:numId w:val="15"/>
        </w:numPr>
        <w:tabs>
          <w:tab w:val="num" w:pos="720"/>
          <w:tab w:val="clear" w:pos="1440"/>
        </w:tabs>
        <w:spacing w:after="120"/>
        <w:ind w:left="720"/>
        <w:rPr>
          <w:sz w:val="22"/>
          <w:szCs w:val="22"/>
        </w:rPr>
      </w:pPr>
      <w:r w:rsidRPr="00096518">
        <w:rPr>
          <w:color w:val="0033A0"/>
          <w:sz w:val="22"/>
          <w:szCs w:val="22"/>
        </w:rPr>
        <w:t xml:space="preserve">Officers of Administration and the Support Staff </w:t>
      </w:r>
      <w:r w:rsidRPr="00D17CF6">
        <w:rPr>
          <w:sz w:val="22"/>
          <w:szCs w:val="22"/>
        </w:rPr>
        <w:t xml:space="preserve">-- The Job Groups follow the Integrated Postsecondary Education Data System Occupation Categories: </w:t>
      </w:r>
    </w:p>
    <w:p w:rsidR="00F054D8" w:rsidRPr="00D17CF6" w:rsidP="00E7332F">
      <w:pPr>
        <w:pStyle w:val="ListParagraph"/>
        <w:keepNext/>
        <w:numPr>
          <w:ilvl w:val="0"/>
          <w:numId w:val="26"/>
        </w:numPr>
        <w:tabs>
          <w:tab w:val="left" w:pos="1260"/>
          <w:tab w:val="left" w:pos="1440"/>
          <w:tab w:val="left" w:pos="2160"/>
          <w:tab w:val="left" w:leader="dot" w:pos="9540"/>
          <w:tab w:val="left" w:pos="9720"/>
        </w:tabs>
        <w:ind w:left="1080"/>
        <w:rPr>
          <w:sz w:val="22"/>
          <w:szCs w:val="22"/>
        </w:rPr>
      </w:pPr>
      <w:r w:rsidRPr="00D17CF6">
        <w:rPr>
          <w:sz w:val="22"/>
          <w:szCs w:val="22"/>
        </w:rPr>
        <w:t>Management Occupations</w:t>
      </w:r>
    </w:p>
    <w:p w:rsidR="00F054D8" w:rsidRPr="00D17CF6" w:rsidP="00E7332F">
      <w:pPr>
        <w:pStyle w:val="ListParagraph"/>
        <w:numPr>
          <w:ilvl w:val="0"/>
          <w:numId w:val="26"/>
        </w:numPr>
        <w:tabs>
          <w:tab w:val="left" w:pos="1260"/>
          <w:tab w:val="left" w:pos="1440"/>
          <w:tab w:val="left" w:pos="2160"/>
          <w:tab w:val="left" w:leader="dot" w:pos="9540"/>
          <w:tab w:val="left" w:pos="9720"/>
        </w:tabs>
        <w:ind w:left="1080"/>
        <w:rPr>
          <w:sz w:val="22"/>
          <w:szCs w:val="22"/>
        </w:rPr>
      </w:pPr>
      <w:r w:rsidRPr="00D17CF6">
        <w:rPr>
          <w:sz w:val="22"/>
          <w:szCs w:val="22"/>
        </w:rPr>
        <w:t>Business and Financial Operations Occupations</w:t>
      </w:r>
    </w:p>
    <w:p w:rsidR="002B0E86" w:rsidRPr="00D17CF6" w:rsidP="00E7332F">
      <w:pPr>
        <w:pStyle w:val="ListParagraph"/>
        <w:numPr>
          <w:ilvl w:val="0"/>
          <w:numId w:val="26"/>
        </w:numPr>
        <w:tabs>
          <w:tab w:val="left" w:pos="1260"/>
          <w:tab w:val="left" w:pos="1440"/>
          <w:tab w:val="left" w:pos="2160"/>
          <w:tab w:val="left" w:leader="dot" w:pos="9540"/>
          <w:tab w:val="left" w:pos="9720"/>
        </w:tabs>
        <w:ind w:left="1080"/>
        <w:rPr>
          <w:sz w:val="22"/>
          <w:szCs w:val="22"/>
        </w:rPr>
      </w:pPr>
      <w:r w:rsidRPr="00D17CF6">
        <w:rPr>
          <w:sz w:val="22"/>
          <w:szCs w:val="22"/>
        </w:rPr>
        <w:t>Computer, Engineering, and Science Occupations</w:t>
      </w:r>
    </w:p>
    <w:p w:rsidR="002B0E86" w:rsidRPr="00D17CF6" w:rsidP="00E7332F">
      <w:pPr>
        <w:pStyle w:val="ListParagraph"/>
        <w:numPr>
          <w:ilvl w:val="0"/>
          <w:numId w:val="26"/>
        </w:numPr>
        <w:tabs>
          <w:tab w:val="left" w:pos="1260"/>
          <w:tab w:val="left" w:pos="1440"/>
          <w:tab w:val="left" w:pos="2160"/>
          <w:tab w:val="left" w:leader="dot" w:pos="9540"/>
          <w:tab w:val="left" w:pos="9720"/>
        </w:tabs>
        <w:ind w:left="1080"/>
        <w:rPr>
          <w:sz w:val="22"/>
          <w:szCs w:val="22"/>
        </w:rPr>
      </w:pPr>
      <w:r w:rsidRPr="00D17CF6">
        <w:rPr>
          <w:sz w:val="22"/>
          <w:szCs w:val="22"/>
        </w:rPr>
        <w:t>Community, Social Service, Legal, Arts, Design, Entertainment, Sports and Media Occupations</w:t>
      </w:r>
    </w:p>
    <w:p w:rsidR="002B0E86" w:rsidRPr="00D17CF6" w:rsidP="00E7332F">
      <w:pPr>
        <w:pStyle w:val="ListParagraph"/>
        <w:numPr>
          <w:ilvl w:val="0"/>
          <w:numId w:val="26"/>
        </w:numPr>
        <w:tabs>
          <w:tab w:val="left" w:pos="1260"/>
          <w:tab w:val="left" w:pos="1440"/>
          <w:tab w:val="left" w:pos="2160"/>
          <w:tab w:val="left" w:leader="dot" w:pos="9540"/>
          <w:tab w:val="left" w:pos="9720"/>
        </w:tabs>
        <w:ind w:left="1080"/>
        <w:rPr>
          <w:sz w:val="22"/>
          <w:szCs w:val="22"/>
        </w:rPr>
      </w:pPr>
      <w:r w:rsidRPr="00D17CF6">
        <w:rPr>
          <w:sz w:val="22"/>
          <w:szCs w:val="22"/>
        </w:rPr>
        <w:t>Librarians, Curators, and Archivists</w:t>
      </w:r>
    </w:p>
    <w:p w:rsidR="00F054D8" w:rsidRPr="00D17CF6" w:rsidP="00E7332F">
      <w:pPr>
        <w:pStyle w:val="ListParagraph"/>
        <w:numPr>
          <w:ilvl w:val="0"/>
          <w:numId w:val="26"/>
        </w:numPr>
        <w:tabs>
          <w:tab w:val="left" w:pos="1260"/>
          <w:tab w:val="left" w:pos="1440"/>
          <w:tab w:val="left" w:pos="2160"/>
          <w:tab w:val="left" w:leader="dot" w:pos="9540"/>
          <w:tab w:val="left" w:pos="9720"/>
        </w:tabs>
        <w:ind w:left="1080"/>
        <w:rPr>
          <w:sz w:val="22"/>
          <w:szCs w:val="22"/>
        </w:rPr>
      </w:pPr>
      <w:r w:rsidRPr="00D17CF6">
        <w:rPr>
          <w:sz w:val="22"/>
          <w:szCs w:val="22"/>
        </w:rPr>
        <w:t>Student and Academic Affairs and Other Education Services Occupations</w:t>
      </w:r>
    </w:p>
    <w:p w:rsidR="004540CD" w:rsidRPr="00D17CF6" w:rsidP="00E7332F">
      <w:pPr>
        <w:pStyle w:val="ListParagraph"/>
        <w:numPr>
          <w:ilvl w:val="0"/>
          <w:numId w:val="26"/>
        </w:numPr>
        <w:tabs>
          <w:tab w:val="left" w:pos="1260"/>
          <w:tab w:val="left" w:pos="1440"/>
          <w:tab w:val="left" w:pos="2160"/>
          <w:tab w:val="left" w:leader="dot" w:pos="9540"/>
          <w:tab w:val="left" w:pos="9720"/>
        </w:tabs>
        <w:ind w:left="1080"/>
        <w:rPr>
          <w:sz w:val="22"/>
          <w:szCs w:val="22"/>
        </w:rPr>
      </w:pPr>
      <w:r w:rsidRPr="00D17CF6">
        <w:rPr>
          <w:sz w:val="22"/>
          <w:szCs w:val="22"/>
        </w:rPr>
        <w:t>Healthcare Practitioners and Technical Occupations</w:t>
      </w:r>
    </w:p>
    <w:p w:rsidR="002B0E86" w:rsidRPr="00D17CF6" w:rsidP="00E7332F">
      <w:pPr>
        <w:pStyle w:val="ListParagraph"/>
        <w:numPr>
          <w:ilvl w:val="0"/>
          <w:numId w:val="26"/>
        </w:numPr>
        <w:tabs>
          <w:tab w:val="left" w:pos="1260"/>
          <w:tab w:val="left" w:pos="1440"/>
          <w:tab w:val="left" w:pos="2160"/>
          <w:tab w:val="left" w:leader="dot" w:pos="9540"/>
          <w:tab w:val="left" w:pos="9720"/>
        </w:tabs>
        <w:ind w:left="1080"/>
        <w:rPr>
          <w:sz w:val="22"/>
          <w:szCs w:val="22"/>
        </w:rPr>
      </w:pPr>
      <w:r w:rsidRPr="00D17CF6">
        <w:rPr>
          <w:sz w:val="22"/>
          <w:szCs w:val="22"/>
        </w:rPr>
        <w:t>Service Occupations</w:t>
      </w:r>
    </w:p>
    <w:p w:rsidR="004540CD" w:rsidRPr="00D17CF6" w:rsidP="00E7332F">
      <w:pPr>
        <w:pStyle w:val="ListParagraph"/>
        <w:numPr>
          <w:ilvl w:val="0"/>
          <w:numId w:val="26"/>
        </w:numPr>
        <w:tabs>
          <w:tab w:val="left" w:pos="1260"/>
          <w:tab w:val="left" w:pos="1440"/>
          <w:tab w:val="left" w:pos="2160"/>
          <w:tab w:val="left" w:leader="dot" w:pos="9540"/>
          <w:tab w:val="left" w:pos="9720"/>
        </w:tabs>
        <w:ind w:left="1080"/>
        <w:rPr>
          <w:sz w:val="22"/>
          <w:szCs w:val="22"/>
        </w:rPr>
      </w:pPr>
      <w:r w:rsidRPr="00D17CF6">
        <w:rPr>
          <w:sz w:val="22"/>
          <w:szCs w:val="22"/>
        </w:rPr>
        <w:t>Office and Administrative Support Occupations</w:t>
      </w:r>
    </w:p>
    <w:p w:rsidR="004540CD" w:rsidRPr="00D17CF6" w:rsidP="00E7332F">
      <w:pPr>
        <w:pStyle w:val="ListParagraph"/>
        <w:numPr>
          <w:ilvl w:val="0"/>
          <w:numId w:val="26"/>
        </w:numPr>
        <w:tabs>
          <w:tab w:val="left" w:pos="1260"/>
          <w:tab w:val="left" w:pos="1440"/>
          <w:tab w:val="left" w:pos="2160"/>
          <w:tab w:val="left" w:leader="dot" w:pos="9540"/>
          <w:tab w:val="left" w:pos="9720"/>
        </w:tabs>
        <w:ind w:left="1080"/>
        <w:rPr>
          <w:sz w:val="22"/>
          <w:szCs w:val="22"/>
        </w:rPr>
      </w:pPr>
      <w:r w:rsidRPr="00D17CF6">
        <w:rPr>
          <w:sz w:val="22"/>
          <w:szCs w:val="22"/>
        </w:rPr>
        <w:t>Natural Resources, Construction, and Maintenance Occupations</w:t>
      </w:r>
    </w:p>
    <w:p w:rsidR="00ED1AF9" w:rsidRPr="00D17CF6" w:rsidP="00E7332F">
      <w:pPr>
        <w:pStyle w:val="ListParagraph"/>
        <w:numPr>
          <w:ilvl w:val="0"/>
          <w:numId w:val="26"/>
        </w:numPr>
        <w:tabs>
          <w:tab w:val="left" w:pos="1260"/>
        </w:tabs>
        <w:ind w:left="1080"/>
        <w:rPr>
          <w:sz w:val="22"/>
          <w:szCs w:val="22"/>
        </w:rPr>
      </w:pPr>
      <w:r w:rsidRPr="00D17CF6">
        <w:rPr>
          <w:sz w:val="22"/>
          <w:szCs w:val="22"/>
        </w:rPr>
        <w:t>Production, Transportation, and Material Moving Occupations</w:t>
      </w:r>
    </w:p>
    <w:p w:rsidR="00555B0F" w:rsidRPr="00D17CF6" w:rsidP="00E7332F">
      <w:pPr>
        <w:ind w:left="1080"/>
        <w:rPr>
          <w:sz w:val="22"/>
          <w:szCs w:val="22"/>
        </w:rPr>
      </w:pPr>
    </w:p>
    <w:p w:rsidR="00ED1AF9" w:rsidRPr="00D17CF6" w:rsidP="00E7332F">
      <w:pPr>
        <w:rPr>
          <w:sz w:val="22"/>
          <w:szCs w:val="22"/>
        </w:rPr>
      </w:pPr>
      <w:r w:rsidRPr="00D17CF6" w:rsidR="00555B0F">
        <w:rPr>
          <w:sz w:val="22"/>
          <w:szCs w:val="22"/>
        </w:rPr>
        <w:t xml:space="preserve">Within the above Categories, the Job Groups are then aligned by responsible University Officer, by Administrative or Academic Unit, or by Job Title.   </w:t>
      </w:r>
    </w:p>
    <w:p w:rsidR="00555B0F" w:rsidRPr="00D17CF6" w:rsidP="00E7332F">
      <w:pPr>
        <w:rPr>
          <w:sz w:val="22"/>
          <w:szCs w:val="22"/>
        </w:rPr>
      </w:pPr>
    </w:p>
    <w:p w:rsidR="00ED1AF9" w:rsidRPr="00D17CF6" w:rsidP="00E7332F">
      <w:pPr>
        <w:keepNext/>
        <w:ind w:firstLine="720"/>
        <w:rPr>
          <w:b/>
          <w:color w:val="0033A0"/>
          <w:sz w:val="22"/>
          <w:szCs w:val="22"/>
        </w:rPr>
      </w:pPr>
      <w:r w:rsidRPr="00D17CF6" w:rsidR="007B7707">
        <w:rPr>
          <w:b/>
          <w:smallCaps/>
          <w:color w:val="0033A0"/>
          <w:sz w:val="22"/>
          <w:szCs w:val="22"/>
        </w:rPr>
        <w:t>B.</w:t>
        <w:tab/>
        <w:t>A</w:t>
      </w:r>
      <w:r w:rsidRPr="00D17CF6" w:rsidR="007B7707">
        <w:rPr>
          <w:b/>
          <w:color w:val="0033A0"/>
          <w:sz w:val="22"/>
          <w:szCs w:val="22"/>
        </w:rPr>
        <w:t>vailability Analysis</w:t>
      </w:r>
    </w:p>
    <w:p w:rsidR="00ED1AF9" w:rsidRPr="00D17CF6" w:rsidP="00E7332F">
      <w:pPr>
        <w:keepNext/>
        <w:rPr>
          <w:sz w:val="22"/>
          <w:szCs w:val="22"/>
        </w:rPr>
      </w:pPr>
    </w:p>
    <w:p w:rsidR="00ED1AF9" w:rsidRPr="00D17CF6" w:rsidP="00E7332F">
      <w:pPr>
        <w:keepNext/>
        <w:spacing w:after="120"/>
        <w:rPr>
          <w:sz w:val="22"/>
          <w:szCs w:val="22"/>
        </w:rPr>
      </w:pPr>
      <w:r w:rsidRPr="00D17CF6" w:rsidR="00AF55B7">
        <w:rPr>
          <w:sz w:val="22"/>
          <w:szCs w:val="22"/>
        </w:rPr>
        <w:t>The next step is an analysis of the availability of women and minorities for jobs in each Job Group.  For purposes of this analysis, there is a two-factor test:</w:t>
      </w:r>
    </w:p>
    <w:p w:rsidR="00E17FA7" w:rsidRPr="00D17CF6" w:rsidP="00E7332F">
      <w:pPr>
        <w:numPr>
          <w:ilvl w:val="0"/>
          <w:numId w:val="16"/>
        </w:numPr>
        <w:spacing w:after="120"/>
        <w:rPr>
          <w:sz w:val="22"/>
          <w:szCs w:val="22"/>
        </w:rPr>
      </w:pPr>
      <w:r w:rsidRPr="00D17CF6">
        <w:rPr>
          <w:sz w:val="22"/>
          <w:szCs w:val="22"/>
        </w:rPr>
        <w:t xml:space="preserve">The first factor is a determination of External Availability or "the percentage of women or minorities with requisite skills in the reasonable recruitment area."  </w:t>
      </w:r>
    </w:p>
    <w:p w:rsidR="00E17FA7" w:rsidRPr="00D17CF6" w:rsidP="00E7332F">
      <w:pPr>
        <w:pStyle w:val="RSBulletedList"/>
        <w:tabs>
          <w:tab w:val="num" w:pos="720"/>
          <w:tab w:val="clear" w:pos="1440"/>
        </w:tabs>
        <w:ind w:left="720" w:right="446" w:hanging="360"/>
        <w:rPr>
          <w:sz w:val="22"/>
          <w:szCs w:val="22"/>
        </w:rPr>
      </w:pPr>
      <w:r w:rsidRPr="00D17CF6">
        <w:rPr>
          <w:sz w:val="22"/>
          <w:szCs w:val="22"/>
        </w:rPr>
        <w:t xml:space="preserve">The second factor is a determination of Internal Availability or "the percentage of women or minorities among those promotable, transferable, and trainable within the contractor's organization."  </w:t>
      </w:r>
    </w:p>
    <w:p w:rsidR="00F67B52" w:rsidP="00E7332F">
      <w:pPr>
        <w:rPr>
          <w:sz w:val="22"/>
          <w:szCs w:val="22"/>
        </w:rPr>
      </w:pPr>
      <w:r w:rsidRPr="00D17CF6">
        <w:rPr>
          <w:sz w:val="22"/>
          <w:szCs w:val="22"/>
        </w:rPr>
        <w:t xml:space="preserve">For the determination of External Availability, Columbia has used current and discrete statistical information derived from 17 different sources, including the </w:t>
      </w:r>
      <w:r w:rsidRPr="00D17CF6">
        <w:rPr>
          <w:i/>
          <w:sz w:val="22"/>
          <w:szCs w:val="22"/>
        </w:rPr>
        <w:t>Survey of Earned Doctorates - Doctorate Data Project:  Research Doctorates Awarded to United States Citizens and Permanent Residents By Race / Ethnicity, Sex, and Fine Field (1986-2017), a publication of the National Opinion Research Center at the University of Chicago</w:t>
      </w:r>
      <w:r w:rsidRPr="00D17CF6" w:rsidR="009B3DD0">
        <w:rPr>
          <w:sz w:val="22"/>
          <w:szCs w:val="22"/>
        </w:rPr>
        <w:t>;</w:t>
      </w:r>
      <w:r w:rsidRPr="00D17CF6">
        <w:rPr>
          <w:i/>
          <w:sz w:val="22"/>
          <w:szCs w:val="22"/>
        </w:rPr>
        <w:t xml:space="preserve"> </w:t>
      </w:r>
      <w:r w:rsidRPr="00D17CF6">
        <w:rPr>
          <w:sz w:val="22"/>
          <w:szCs w:val="22"/>
        </w:rPr>
        <w:t xml:space="preserve">the </w:t>
      </w:r>
      <w:r w:rsidRPr="00D17CF6">
        <w:rPr>
          <w:rFonts w:eastAsia="Batang"/>
          <w:i/>
          <w:iCs/>
          <w:sz w:val="22"/>
          <w:szCs w:val="22"/>
        </w:rPr>
        <w:t>Association of American Medical Colleges Faculty Roster, December 31, 2019</w:t>
      </w:r>
      <w:r w:rsidRPr="00D17CF6">
        <w:rPr>
          <w:rFonts w:eastAsia="Batang"/>
          <w:iCs/>
          <w:sz w:val="22"/>
          <w:szCs w:val="22"/>
        </w:rPr>
        <w:t xml:space="preserve">; the </w:t>
      </w:r>
      <w:r w:rsidRPr="00D17CF6">
        <w:rPr>
          <w:i/>
          <w:sz w:val="22"/>
          <w:szCs w:val="22"/>
        </w:rPr>
        <w:t>Association of Research Libraries Annual Salary Survey, 2017-2018</w:t>
      </w:r>
      <w:r w:rsidRPr="00D17CF6">
        <w:rPr>
          <w:sz w:val="22"/>
          <w:szCs w:val="22"/>
        </w:rPr>
        <w:t xml:space="preserve">; and the </w:t>
      </w:r>
      <w:r w:rsidRPr="00D17CF6">
        <w:rPr>
          <w:i/>
          <w:sz w:val="22"/>
          <w:szCs w:val="22"/>
        </w:rPr>
        <w:t xml:space="preserve">2006-2010 EEO File, published by the United States Census Bureau -- </w:t>
      </w:r>
      <w:r w:rsidRPr="00D17CF6">
        <w:rPr>
          <w:sz w:val="22"/>
          <w:szCs w:val="22"/>
        </w:rPr>
        <w:t xml:space="preserve">on a national basis and/or on a New York PMSA basis, depending on the Job Group.  For the determination of Internal Availability, Columbia has assessed which Job Groups are "feeder pools" for movement to higher level Job Groups.  </w:t>
      </w:r>
    </w:p>
    <w:p w:rsidR="00F67914" w:rsidRPr="00D17CF6" w:rsidP="00E7332F">
      <w:pPr>
        <w:rPr>
          <w:sz w:val="22"/>
          <w:szCs w:val="22"/>
        </w:rPr>
      </w:pPr>
    </w:p>
    <w:p w:rsidR="00ED1AF9" w:rsidRPr="00D17CF6" w:rsidP="00E7332F">
      <w:pPr>
        <w:rPr>
          <w:sz w:val="22"/>
          <w:szCs w:val="22"/>
        </w:rPr>
      </w:pPr>
      <w:r w:rsidRPr="00D17CF6">
        <w:rPr>
          <w:sz w:val="22"/>
          <w:szCs w:val="22"/>
        </w:rPr>
        <w:t xml:space="preserve">While Columbia, in good faith, uses the best and most relevant data for determining availability, there are inherent limitations to any such determination.  For example, based on raw census or survey data alone, Columbia would have no knowledge of individual qualifications, or whether the individual would have an interest in working at Columbia or would be a suitable match for employment.   </w:t>
      </w:r>
    </w:p>
    <w:p w:rsidR="00ED1AF9" w:rsidRPr="00D17CF6" w:rsidP="00E7332F">
      <w:pPr>
        <w:rPr>
          <w:sz w:val="22"/>
          <w:szCs w:val="22"/>
        </w:rPr>
      </w:pPr>
    </w:p>
    <w:p w:rsidR="00ED1AF9" w:rsidRPr="00D17CF6" w:rsidP="00E7332F">
      <w:pPr>
        <w:keepNext/>
        <w:ind w:firstLine="720"/>
        <w:rPr>
          <w:b/>
          <w:smallCaps/>
          <w:color w:val="0033A0"/>
          <w:sz w:val="22"/>
          <w:szCs w:val="22"/>
        </w:rPr>
      </w:pPr>
      <w:r w:rsidRPr="00D17CF6">
        <w:rPr>
          <w:b/>
          <w:smallCaps/>
          <w:color w:val="0033A0"/>
          <w:sz w:val="22"/>
          <w:szCs w:val="22"/>
        </w:rPr>
        <w:t>C.</w:t>
        <w:tab/>
      </w:r>
      <w:r w:rsidRPr="00D17CF6" w:rsidR="00E17FA7">
        <w:rPr>
          <w:b/>
          <w:color w:val="0033A0"/>
          <w:sz w:val="22"/>
          <w:szCs w:val="22"/>
        </w:rPr>
        <w:t>Establishing Placement Goals</w:t>
      </w:r>
    </w:p>
    <w:p w:rsidR="00ED1AF9" w:rsidRPr="00D17CF6" w:rsidP="00E7332F">
      <w:pPr>
        <w:keepNext/>
        <w:keepLines/>
        <w:rPr>
          <w:sz w:val="22"/>
          <w:szCs w:val="22"/>
        </w:rPr>
      </w:pPr>
    </w:p>
    <w:p w:rsidR="001575D0" w:rsidRPr="00D17CF6" w:rsidP="00E7332F">
      <w:pPr>
        <w:pStyle w:val="normal1"/>
        <w:keepLines/>
        <w:spacing w:after="0" w:line="240" w:lineRule="auto"/>
        <w:ind w:right="-86" w:firstLine="0"/>
        <w:rPr>
          <w:sz w:val="22"/>
          <w:szCs w:val="22"/>
        </w:rPr>
      </w:pPr>
      <w:r w:rsidRPr="00D17CF6" w:rsidR="00071257">
        <w:rPr>
          <w:sz w:val="22"/>
          <w:szCs w:val="22"/>
        </w:rPr>
        <w:t xml:space="preserve">The final step is to compare the percentage of Women and the percentage of Minorities in each Job Group with the rates of availability of Women and Minorities for those Job Groups.  Where the percentage of Women or Minorities is less than what would reasonably be expected given their availability, a Placement Goal is to be established.  </w:t>
      </w:r>
    </w:p>
    <w:p w:rsidR="001575D0" w:rsidRPr="00D17CF6" w:rsidP="00E7332F">
      <w:pPr>
        <w:pStyle w:val="normal1"/>
        <w:spacing w:after="0" w:line="240" w:lineRule="auto"/>
        <w:ind w:right="-86" w:firstLine="0"/>
        <w:rPr>
          <w:sz w:val="22"/>
          <w:szCs w:val="22"/>
        </w:rPr>
      </w:pPr>
    </w:p>
    <w:p w:rsidR="006B1437" w:rsidP="00E7332F">
      <w:pPr>
        <w:pStyle w:val="normal1"/>
        <w:spacing w:after="0" w:line="240" w:lineRule="auto"/>
        <w:ind w:right="-86" w:firstLine="0"/>
        <w:rPr>
          <w:sz w:val="22"/>
          <w:szCs w:val="22"/>
        </w:rPr>
      </w:pPr>
      <w:r w:rsidRPr="00D17CF6">
        <w:rPr>
          <w:sz w:val="22"/>
          <w:szCs w:val="22"/>
        </w:rPr>
        <w:t xml:space="preserve">In making this </w:t>
      </w:r>
      <w:bookmarkStart w:id="0" w:name="_GoBack"/>
      <w:bookmarkEnd w:id="0"/>
      <w:r w:rsidRPr="00D17CF6">
        <w:rPr>
          <w:sz w:val="22"/>
          <w:szCs w:val="22"/>
        </w:rPr>
        <w:t xml:space="preserve">comparison, Columbia has used the "80 percent" method, one of three methods permitted by the applicable regulations, with the application of the "whole person" rule.  Under this method, when the incumbency rate of Women and/or Minorities in a Job Group is less than 80% of the availability rate and the shortfall is equal to at least one whole person, a Placement Goal is set.  </w:t>
      </w:r>
    </w:p>
    <w:p w:rsidR="00BE7CED" w:rsidP="00E7332F">
      <w:pPr>
        <w:pStyle w:val="normal1"/>
        <w:spacing w:after="0" w:line="240" w:lineRule="auto"/>
        <w:ind w:right="-86" w:firstLine="0"/>
        <w:rPr>
          <w:sz w:val="22"/>
          <w:szCs w:val="22"/>
        </w:rPr>
      </w:pPr>
    </w:p>
    <w:p w:rsidR="006B1437" w:rsidP="00E7332F">
      <w:pPr>
        <w:pStyle w:val="normal1"/>
        <w:keepLines/>
        <w:spacing w:after="120" w:line="240" w:lineRule="auto"/>
        <w:ind w:right="-86" w:firstLine="0"/>
        <w:rPr>
          <w:sz w:val="22"/>
          <w:szCs w:val="22"/>
        </w:rPr>
      </w:pPr>
      <w:r>
        <w:rPr>
          <w:sz w:val="22"/>
          <w:szCs w:val="22"/>
        </w:rPr>
        <w:t>For the November 1, 2020 - October 31, 2021 Executive Order Programs, and based on the above methodology, Columbia has established Placement Goals as follows: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4"/>
        <w:gridCol w:w="866"/>
        <w:gridCol w:w="1346"/>
        <w:gridCol w:w="1359"/>
        <w:gridCol w:w="1346"/>
        <w:gridCol w:w="1359"/>
      </w:tblGrid>
      <w:tr w:rsidTr="00E929CC">
        <w:tblPrEx>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hRule="exact" w:val="288"/>
          <w:tblHeader/>
        </w:trPr>
        <w:tc>
          <w:tcPr>
            <w:tcW w:w="3804" w:type="dxa"/>
            <w:tcBorders>
              <w:right w:val="nil"/>
            </w:tcBorders>
            <w:shd w:val="clear" w:color="auto" w:fill="BFBFBF"/>
            <w:vAlign w:val="center"/>
          </w:tcPr>
          <w:p w:rsidR="00D0211C" w:rsidRPr="00D0211C" w:rsidP="00D0211C">
            <w:pPr>
              <w:keepNext/>
              <w:jc w:val="center"/>
              <w:rPr>
                <w:b/>
                <w:snapToGrid w:val="0"/>
                <w:color w:val="FFFFFF"/>
                <w:sz w:val="20"/>
                <w:szCs w:val="20"/>
              </w:rPr>
            </w:pPr>
          </w:p>
        </w:tc>
        <w:tc>
          <w:tcPr>
            <w:tcW w:w="866" w:type="dxa"/>
            <w:tcBorders>
              <w:left w:val="nil"/>
              <w:right w:val="single" w:sz="24" w:space="0" w:color="auto"/>
            </w:tcBorders>
            <w:shd w:val="clear" w:color="auto" w:fill="BFBFBF"/>
            <w:vAlign w:val="center"/>
          </w:tcPr>
          <w:p w:rsidR="00D0211C" w:rsidRPr="00D0211C" w:rsidP="00D0211C">
            <w:pPr>
              <w:keepNext/>
              <w:jc w:val="center"/>
              <w:rPr>
                <w:b/>
                <w:snapToGrid w:val="0"/>
                <w:color w:val="FFFFFF"/>
                <w:sz w:val="14"/>
                <w:szCs w:val="14"/>
              </w:rPr>
            </w:pPr>
          </w:p>
        </w:tc>
        <w:tc>
          <w:tcPr>
            <w:tcW w:w="2705" w:type="dxa"/>
            <w:gridSpan w:val="2"/>
            <w:tcBorders>
              <w:left w:val="single" w:sz="24" w:space="0" w:color="auto"/>
              <w:right w:val="single" w:sz="24" w:space="0" w:color="auto"/>
            </w:tcBorders>
            <w:shd w:val="clear" w:color="auto" w:fill="BFBFBF"/>
            <w:vAlign w:val="center"/>
          </w:tcPr>
          <w:p w:rsidR="00D0211C" w:rsidRPr="00D0211C" w:rsidP="00D0211C">
            <w:pPr>
              <w:keepNext/>
              <w:jc w:val="center"/>
              <w:rPr>
                <w:b/>
                <w:snapToGrid w:val="0"/>
                <w:color w:val="FFFFFF"/>
                <w:sz w:val="14"/>
                <w:szCs w:val="14"/>
              </w:rPr>
            </w:pPr>
            <w:r w:rsidRPr="00D0211C">
              <w:rPr>
                <w:b/>
                <w:snapToGrid w:val="0"/>
                <w:color w:val="0033A0"/>
                <w:sz w:val="18"/>
                <w:szCs w:val="18"/>
              </w:rPr>
              <w:t>GENDER</w:t>
            </w:r>
          </w:p>
        </w:tc>
        <w:tc>
          <w:tcPr>
            <w:tcW w:w="2705" w:type="dxa"/>
            <w:gridSpan w:val="2"/>
            <w:tcBorders>
              <w:left w:val="single" w:sz="24" w:space="0" w:color="auto"/>
            </w:tcBorders>
            <w:shd w:val="clear" w:color="auto" w:fill="BFBFBF"/>
            <w:vAlign w:val="center"/>
          </w:tcPr>
          <w:p w:rsidR="00D0211C" w:rsidRPr="00D0211C" w:rsidP="00D0211C">
            <w:pPr>
              <w:keepNext/>
              <w:ind w:left="-108" w:right="-108"/>
              <w:jc w:val="center"/>
              <w:rPr>
                <w:b/>
                <w:snapToGrid w:val="0"/>
                <w:color w:val="FFFFFF"/>
                <w:sz w:val="14"/>
                <w:szCs w:val="14"/>
              </w:rPr>
            </w:pPr>
            <w:r w:rsidRPr="00D0211C">
              <w:rPr>
                <w:b/>
                <w:snapToGrid w:val="0"/>
                <w:color w:val="0033A0"/>
                <w:sz w:val="18"/>
                <w:szCs w:val="18"/>
              </w:rPr>
              <w:t>RACE / ETHNICITY</w:t>
            </w:r>
          </w:p>
        </w:tc>
      </w:tr>
      <w:tr w:rsidTr="00E929CC">
        <w:tblPrEx>
          <w:tblW w:w="10080" w:type="dxa"/>
          <w:tblInd w:w="-5" w:type="dxa"/>
          <w:tblLook w:val="04A0"/>
        </w:tblPrEx>
        <w:trPr>
          <w:trHeight w:hRule="exact" w:val="504"/>
          <w:tblHeader/>
        </w:trPr>
        <w:tc>
          <w:tcPr>
            <w:tcW w:w="3804" w:type="dxa"/>
            <w:tcBorders>
              <w:right w:val="single" w:sz="4" w:space="0" w:color="auto"/>
            </w:tcBorders>
            <w:shd w:val="clear" w:color="auto" w:fill="0033A0"/>
            <w:vAlign w:val="center"/>
          </w:tcPr>
          <w:p w:rsidR="00D0211C" w:rsidRPr="00D0211C" w:rsidP="00BE7CED">
            <w:pPr>
              <w:keepNext/>
              <w:rPr>
                <w:b/>
                <w:snapToGrid w:val="0"/>
                <w:color w:val="FFFFFF"/>
                <w:sz w:val="20"/>
                <w:szCs w:val="20"/>
              </w:rPr>
            </w:pPr>
            <w:r w:rsidRPr="00D0211C">
              <w:rPr>
                <w:b/>
                <w:snapToGrid w:val="0"/>
                <w:color w:val="FFFFFF"/>
                <w:sz w:val="20"/>
                <w:szCs w:val="20"/>
              </w:rPr>
              <w:t>Campus</w:t>
            </w:r>
          </w:p>
        </w:tc>
        <w:tc>
          <w:tcPr>
            <w:tcW w:w="866" w:type="dxa"/>
            <w:tcBorders>
              <w:left w:val="single" w:sz="4" w:space="0" w:color="auto"/>
              <w:right w:val="single" w:sz="24" w:space="0" w:color="auto"/>
            </w:tcBorders>
            <w:shd w:val="clear" w:color="auto" w:fill="0033A0"/>
            <w:vAlign w:val="center"/>
          </w:tcPr>
          <w:p w:rsidR="00D0211C" w:rsidRPr="00D0211C" w:rsidP="00D0211C">
            <w:pPr>
              <w:keepNext/>
              <w:jc w:val="center"/>
              <w:rPr>
                <w:rFonts w:ascii="Arial Narrow" w:hAnsi="Arial Narrow"/>
                <w:b/>
                <w:snapToGrid w:val="0"/>
                <w:color w:val="FFFFFF"/>
                <w:sz w:val="14"/>
                <w:szCs w:val="14"/>
              </w:rPr>
            </w:pPr>
            <w:r w:rsidRPr="00D0211C">
              <w:rPr>
                <w:rFonts w:ascii="Arial Narrow" w:hAnsi="Arial Narrow"/>
                <w:b/>
                <w:snapToGrid w:val="0"/>
                <w:color w:val="FFFFFF"/>
                <w:sz w:val="14"/>
                <w:szCs w:val="14"/>
              </w:rPr>
              <w:t># of Job Groups</w:t>
            </w:r>
          </w:p>
        </w:tc>
        <w:tc>
          <w:tcPr>
            <w:tcW w:w="1346" w:type="dxa"/>
            <w:tcBorders>
              <w:left w:val="single" w:sz="24" w:space="0" w:color="auto"/>
              <w:right w:val="single" w:sz="4" w:space="0" w:color="auto"/>
            </w:tcBorders>
            <w:shd w:val="clear" w:color="auto" w:fill="0033A0"/>
            <w:vAlign w:val="center"/>
          </w:tcPr>
          <w:p w:rsidR="00D0211C" w:rsidRPr="00D0211C" w:rsidP="00D0211C">
            <w:pPr>
              <w:keepNext/>
              <w:ind w:left="-108" w:right="-108"/>
              <w:jc w:val="center"/>
              <w:rPr>
                <w:rFonts w:ascii="Arial Narrow" w:hAnsi="Arial Narrow"/>
                <w:b/>
                <w:snapToGrid w:val="0"/>
                <w:color w:val="FFFFFF"/>
                <w:sz w:val="14"/>
                <w:szCs w:val="14"/>
              </w:rPr>
            </w:pPr>
            <w:r w:rsidRPr="00D0211C">
              <w:rPr>
                <w:rFonts w:ascii="Arial Narrow" w:hAnsi="Arial Narrow"/>
                <w:b/>
                <w:snapToGrid w:val="0"/>
                <w:color w:val="FFFFFF"/>
                <w:sz w:val="14"/>
                <w:szCs w:val="14"/>
              </w:rPr>
              <w:t xml:space="preserve"># of Job Groups </w:t>
              <w:br/>
              <w:t xml:space="preserve">with Placement Goals </w:t>
              <w:br/>
              <w:t>as to Women</w:t>
            </w:r>
          </w:p>
        </w:tc>
        <w:tc>
          <w:tcPr>
            <w:tcW w:w="1359" w:type="dxa"/>
            <w:tcBorders>
              <w:left w:val="single" w:sz="4" w:space="0" w:color="auto"/>
              <w:right w:val="single" w:sz="24" w:space="0" w:color="auto"/>
            </w:tcBorders>
            <w:shd w:val="clear" w:color="auto" w:fill="0033A0"/>
            <w:vAlign w:val="center"/>
          </w:tcPr>
          <w:p w:rsidR="00D0211C" w:rsidRPr="00D0211C" w:rsidP="00D0211C">
            <w:pPr>
              <w:keepNext/>
              <w:jc w:val="center"/>
              <w:rPr>
                <w:rFonts w:ascii="Arial Narrow" w:hAnsi="Arial Narrow"/>
                <w:b/>
                <w:snapToGrid w:val="0"/>
                <w:color w:val="FFFFFF"/>
                <w:sz w:val="14"/>
                <w:szCs w:val="14"/>
              </w:rPr>
            </w:pPr>
            <w:r w:rsidRPr="00D0211C">
              <w:rPr>
                <w:rFonts w:ascii="Arial Narrow" w:hAnsi="Arial Narrow"/>
                <w:b/>
                <w:snapToGrid w:val="0"/>
                <w:color w:val="FFFFFF"/>
                <w:sz w:val="14"/>
                <w:szCs w:val="14"/>
              </w:rPr>
              <w:t xml:space="preserve">% of Job Groups </w:t>
              <w:br/>
              <w:t xml:space="preserve">with Placement Goals </w:t>
              <w:br/>
              <w:t>as to Women</w:t>
            </w:r>
          </w:p>
        </w:tc>
        <w:tc>
          <w:tcPr>
            <w:tcW w:w="1346" w:type="dxa"/>
            <w:tcBorders>
              <w:left w:val="single" w:sz="24" w:space="0" w:color="auto"/>
              <w:right w:val="single" w:sz="4" w:space="0" w:color="auto"/>
            </w:tcBorders>
            <w:shd w:val="clear" w:color="auto" w:fill="0033A0"/>
            <w:vAlign w:val="center"/>
          </w:tcPr>
          <w:p w:rsidR="00D0211C" w:rsidRPr="00D0211C" w:rsidP="00D0211C">
            <w:pPr>
              <w:keepNext/>
              <w:ind w:left="-108" w:right="-108"/>
              <w:jc w:val="center"/>
              <w:rPr>
                <w:rFonts w:ascii="Arial Narrow" w:hAnsi="Arial Narrow"/>
                <w:b/>
                <w:snapToGrid w:val="0"/>
                <w:color w:val="FFFFFF"/>
                <w:sz w:val="14"/>
                <w:szCs w:val="14"/>
              </w:rPr>
            </w:pPr>
            <w:r w:rsidRPr="00D0211C">
              <w:rPr>
                <w:rFonts w:ascii="Arial Narrow" w:hAnsi="Arial Narrow"/>
                <w:b/>
                <w:snapToGrid w:val="0"/>
                <w:color w:val="FFFFFF"/>
                <w:sz w:val="14"/>
                <w:szCs w:val="14"/>
              </w:rPr>
              <w:t xml:space="preserve"># of Job Groups </w:t>
              <w:br/>
              <w:t>with Placement Goals</w:t>
              <w:br/>
              <w:t>as to Minorities</w:t>
            </w:r>
          </w:p>
        </w:tc>
        <w:tc>
          <w:tcPr>
            <w:tcW w:w="1359" w:type="dxa"/>
            <w:tcBorders>
              <w:left w:val="single" w:sz="4" w:space="0" w:color="auto"/>
            </w:tcBorders>
            <w:shd w:val="clear" w:color="auto" w:fill="0033A0"/>
            <w:vAlign w:val="center"/>
          </w:tcPr>
          <w:p w:rsidR="00D0211C" w:rsidRPr="00D0211C" w:rsidP="00D0211C">
            <w:pPr>
              <w:keepNext/>
              <w:jc w:val="center"/>
              <w:rPr>
                <w:rFonts w:ascii="Arial Narrow" w:hAnsi="Arial Narrow"/>
                <w:b/>
                <w:snapToGrid w:val="0"/>
                <w:color w:val="FFFFFF"/>
                <w:sz w:val="14"/>
                <w:szCs w:val="14"/>
              </w:rPr>
            </w:pPr>
            <w:r w:rsidRPr="00D0211C">
              <w:rPr>
                <w:rFonts w:ascii="Arial Narrow" w:hAnsi="Arial Narrow"/>
                <w:b/>
                <w:snapToGrid w:val="0"/>
                <w:color w:val="FFFFFF"/>
                <w:sz w:val="14"/>
                <w:szCs w:val="14"/>
              </w:rPr>
              <w:t xml:space="preserve">% of Job Groups </w:t>
              <w:br/>
              <w:t>with Placement Goals</w:t>
              <w:br/>
              <w:t>as to Minorities</w:t>
            </w:r>
          </w:p>
        </w:tc>
      </w:tr>
      <w:tr w:rsidTr="00E929CC">
        <w:tblPrEx>
          <w:tblW w:w="10080" w:type="dxa"/>
          <w:tblInd w:w="-5" w:type="dxa"/>
          <w:tblLook w:val="04A0"/>
        </w:tblPrEx>
        <w:trPr>
          <w:trHeight w:hRule="exact" w:val="72"/>
        </w:trPr>
        <w:tc>
          <w:tcPr>
            <w:tcW w:w="3804" w:type="dxa"/>
            <w:tcBorders>
              <w:bottom w:val="single" w:sz="4" w:space="0" w:color="auto"/>
              <w:right w:val="single" w:sz="4" w:space="0" w:color="auto"/>
            </w:tcBorders>
            <w:shd w:val="clear" w:color="auto" w:fill="000000"/>
            <w:vAlign w:val="center"/>
          </w:tcPr>
          <w:p w:rsidR="00D0211C" w:rsidRPr="00D0211C" w:rsidP="00D0211C">
            <w:pPr>
              <w:keepNext/>
              <w:rPr>
                <w:b/>
                <w:color w:val="000000"/>
                <w:sz w:val="18"/>
                <w:szCs w:val="18"/>
              </w:rPr>
            </w:pPr>
          </w:p>
        </w:tc>
        <w:tc>
          <w:tcPr>
            <w:tcW w:w="866" w:type="dxa"/>
            <w:tcBorders>
              <w:left w:val="single" w:sz="4" w:space="0" w:color="auto"/>
              <w:bottom w:val="single" w:sz="4" w:space="0" w:color="auto"/>
              <w:right w:val="single" w:sz="24" w:space="0" w:color="auto"/>
            </w:tcBorders>
            <w:shd w:val="clear" w:color="auto" w:fill="000000"/>
            <w:vAlign w:val="center"/>
          </w:tcPr>
          <w:p w:rsidR="00D0211C" w:rsidRPr="00D0211C" w:rsidP="00D0211C">
            <w:pPr>
              <w:keepNext/>
              <w:ind w:right="404"/>
              <w:jc w:val="right"/>
              <w:rPr>
                <w:b/>
                <w:snapToGrid w:val="0"/>
                <w:color w:val="000000"/>
                <w:sz w:val="18"/>
                <w:szCs w:val="20"/>
              </w:rPr>
            </w:pPr>
          </w:p>
        </w:tc>
        <w:tc>
          <w:tcPr>
            <w:tcW w:w="1346" w:type="dxa"/>
            <w:tcBorders>
              <w:left w:val="single" w:sz="24" w:space="0" w:color="auto"/>
              <w:bottom w:val="single" w:sz="4" w:space="0" w:color="auto"/>
              <w:right w:val="single" w:sz="4" w:space="0" w:color="auto"/>
            </w:tcBorders>
            <w:shd w:val="clear" w:color="auto" w:fill="000000"/>
            <w:vAlign w:val="center"/>
          </w:tcPr>
          <w:p w:rsidR="00D0211C" w:rsidRPr="00D0211C" w:rsidP="00D0211C">
            <w:pPr>
              <w:keepNext/>
              <w:jc w:val="center"/>
              <w:rPr>
                <w:b/>
                <w:snapToGrid w:val="0"/>
                <w:color w:val="000000"/>
                <w:sz w:val="18"/>
                <w:szCs w:val="20"/>
              </w:rPr>
            </w:pPr>
          </w:p>
        </w:tc>
        <w:tc>
          <w:tcPr>
            <w:tcW w:w="1359" w:type="dxa"/>
            <w:tcBorders>
              <w:left w:val="single" w:sz="4" w:space="0" w:color="auto"/>
              <w:bottom w:val="single" w:sz="4" w:space="0" w:color="auto"/>
              <w:right w:val="single" w:sz="24" w:space="0" w:color="auto"/>
            </w:tcBorders>
            <w:shd w:val="clear" w:color="auto" w:fill="000000"/>
            <w:vAlign w:val="center"/>
          </w:tcPr>
          <w:p w:rsidR="00D0211C" w:rsidRPr="00D0211C" w:rsidP="00D0211C">
            <w:pPr>
              <w:keepNext/>
              <w:jc w:val="center"/>
              <w:rPr>
                <w:b/>
                <w:snapToGrid w:val="0"/>
                <w:color w:val="000000"/>
                <w:sz w:val="18"/>
                <w:szCs w:val="20"/>
              </w:rPr>
            </w:pPr>
          </w:p>
        </w:tc>
        <w:tc>
          <w:tcPr>
            <w:tcW w:w="1346" w:type="dxa"/>
            <w:tcBorders>
              <w:left w:val="single" w:sz="24" w:space="0" w:color="auto"/>
              <w:bottom w:val="single" w:sz="4" w:space="0" w:color="auto"/>
            </w:tcBorders>
            <w:shd w:val="clear" w:color="auto" w:fill="000000"/>
            <w:vAlign w:val="center"/>
          </w:tcPr>
          <w:p w:rsidR="00D0211C" w:rsidRPr="00D0211C" w:rsidP="00D0211C">
            <w:pPr>
              <w:keepNext/>
              <w:jc w:val="center"/>
              <w:rPr>
                <w:b/>
                <w:snapToGrid w:val="0"/>
                <w:color w:val="000000"/>
                <w:sz w:val="18"/>
                <w:szCs w:val="20"/>
              </w:rPr>
            </w:pPr>
          </w:p>
        </w:tc>
        <w:tc>
          <w:tcPr>
            <w:tcW w:w="1359" w:type="dxa"/>
            <w:tcBorders>
              <w:bottom w:val="single" w:sz="4" w:space="0" w:color="auto"/>
            </w:tcBorders>
            <w:shd w:val="clear" w:color="auto" w:fill="000000"/>
            <w:vAlign w:val="center"/>
          </w:tcPr>
          <w:p w:rsidR="00D0211C" w:rsidRPr="00D0211C" w:rsidP="00D0211C">
            <w:pPr>
              <w:keepNext/>
              <w:jc w:val="center"/>
              <w:rPr>
                <w:b/>
                <w:snapToGrid w:val="0"/>
                <w:color w:val="000000"/>
                <w:sz w:val="18"/>
                <w:szCs w:val="20"/>
              </w:rPr>
            </w:pPr>
          </w:p>
        </w:tc>
      </w:tr>
      <w:tr w:rsidTr="00556BC1">
        <w:tblPrEx>
          <w:tblW w:w="10080" w:type="dxa"/>
          <w:tblInd w:w="-5" w:type="dxa"/>
          <w:tblLook w:val="04A0"/>
        </w:tblPrEx>
        <w:trPr>
          <w:trHeight w:hRule="exact" w:val="288"/>
        </w:trPr>
        <w:tc>
          <w:tcPr>
            <w:tcW w:w="3804" w:type="dxa"/>
            <w:tcBorders>
              <w:bottom w:val="single" w:sz="4" w:space="0" w:color="auto"/>
              <w:right w:val="single" w:sz="4" w:space="0" w:color="auto"/>
            </w:tcBorders>
            <w:vAlign w:val="center"/>
          </w:tcPr>
          <w:p w:rsidR="00D0211C" w:rsidRPr="00D0211C" w:rsidP="00D0211C">
            <w:pPr>
              <w:keepNext/>
              <w:rPr>
                <w:sz w:val="20"/>
                <w:szCs w:val="20"/>
              </w:rPr>
            </w:pPr>
            <w:r w:rsidRPr="0004111A">
              <w:rPr>
                <w:sz w:val="20"/>
                <w:szCs w:val="20"/>
              </w:rPr>
              <w:t>Morningside Campus</w:t>
            </w:r>
          </w:p>
        </w:tc>
        <w:tc>
          <w:tcPr>
            <w:tcW w:w="866" w:type="dxa"/>
            <w:tcBorders>
              <w:left w:val="single" w:sz="4" w:space="0" w:color="auto"/>
              <w:bottom w:val="single" w:sz="4" w:space="0" w:color="auto"/>
              <w:right w:val="single" w:sz="24" w:space="0" w:color="auto"/>
            </w:tcBorders>
            <w:shd w:val="clear" w:color="auto" w:fill="auto"/>
            <w:vAlign w:val="center"/>
          </w:tcPr>
          <w:p w:rsidR="00D0211C" w:rsidRPr="00D0211C" w:rsidP="00D0211C">
            <w:pPr>
              <w:keepNext/>
              <w:ind w:right="73"/>
              <w:jc w:val="right"/>
              <w:rPr>
                <w:snapToGrid w:val="0"/>
                <w:sz w:val="20"/>
                <w:szCs w:val="20"/>
              </w:rPr>
            </w:pPr>
            <w:r w:rsidRPr="00605A39">
              <w:rPr>
                <w:sz w:val="20"/>
                <w:szCs w:val="20"/>
              </w:rPr>
              <w:t>456</w:t>
            </w:r>
          </w:p>
        </w:tc>
        <w:tc>
          <w:tcPr>
            <w:tcW w:w="1346" w:type="dxa"/>
            <w:tcBorders>
              <w:left w:val="single" w:sz="24" w:space="0" w:color="auto"/>
              <w:bottom w:val="single" w:sz="4" w:space="0" w:color="auto"/>
              <w:right w:val="single" w:sz="4" w:space="0" w:color="auto"/>
            </w:tcBorders>
            <w:shd w:val="clear" w:color="auto" w:fill="auto"/>
            <w:tcMar>
              <w:left w:w="115" w:type="dxa"/>
              <w:right w:w="274" w:type="dxa"/>
            </w:tcMar>
            <w:vAlign w:val="center"/>
          </w:tcPr>
          <w:p w:rsidR="00D0211C" w:rsidRPr="00D0211C" w:rsidP="00D0211C">
            <w:pPr>
              <w:keepNext/>
              <w:ind w:right="-89"/>
              <w:jc w:val="right"/>
              <w:rPr>
                <w:snapToGrid w:val="0"/>
                <w:sz w:val="20"/>
                <w:szCs w:val="20"/>
              </w:rPr>
            </w:pPr>
            <w:r w:rsidRPr="00605A39">
              <w:rPr>
                <w:sz w:val="20"/>
                <w:szCs w:val="20"/>
              </w:rPr>
              <w:t>83</w:t>
            </w:r>
          </w:p>
        </w:tc>
        <w:tc>
          <w:tcPr>
            <w:tcW w:w="1359" w:type="dxa"/>
            <w:tcBorders>
              <w:left w:val="single" w:sz="4" w:space="0" w:color="auto"/>
              <w:bottom w:val="single" w:sz="4" w:space="0" w:color="auto"/>
              <w:right w:val="single" w:sz="24" w:space="0" w:color="auto"/>
            </w:tcBorders>
            <w:shd w:val="clear" w:color="auto" w:fill="auto"/>
            <w:tcMar>
              <w:left w:w="115" w:type="dxa"/>
              <w:right w:w="317" w:type="dxa"/>
            </w:tcMar>
            <w:vAlign w:val="center"/>
          </w:tcPr>
          <w:p w:rsidR="00D0211C" w:rsidRPr="00D0211C" w:rsidP="00E929CC">
            <w:pPr>
              <w:keepNext/>
              <w:ind w:right="-131"/>
              <w:jc w:val="right"/>
              <w:rPr>
                <w:snapToGrid w:val="0"/>
                <w:sz w:val="20"/>
                <w:szCs w:val="20"/>
              </w:rPr>
            </w:pPr>
            <w:r w:rsidRPr="00605A39">
              <w:rPr>
                <w:sz w:val="20"/>
                <w:szCs w:val="20"/>
              </w:rPr>
              <w:t>18.20%</w:t>
            </w:r>
          </w:p>
        </w:tc>
        <w:tc>
          <w:tcPr>
            <w:tcW w:w="1346" w:type="dxa"/>
            <w:tcBorders>
              <w:left w:val="single" w:sz="24" w:space="0" w:color="auto"/>
              <w:bottom w:val="single" w:sz="4" w:space="0" w:color="auto"/>
            </w:tcBorders>
            <w:tcMar>
              <w:left w:w="115" w:type="dxa"/>
              <w:right w:w="360" w:type="dxa"/>
            </w:tcMar>
            <w:vAlign w:val="center"/>
          </w:tcPr>
          <w:p w:rsidR="00D0211C" w:rsidRPr="00D0211C" w:rsidP="00D0211C">
            <w:pPr>
              <w:keepNext/>
              <w:ind w:right="-175"/>
              <w:jc w:val="right"/>
              <w:rPr>
                <w:snapToGrid w:val="0"/>
                <w:sz w:val="20"/>
                <w:szCs w:val="20"/>
              </w:rPr>
            </w:pPr>
            <w:r w:rsidRPr="00605A39">
              <w:rPr>
                <w:sz w:val="20"/>
                <w:szCs w:val="20"/>
              </w:rPr>
              <w:t>50</w:t>
            </w:r>
          </w:p>
        </w:tc>
        <w:tc>
          <w:tcPr>
            <w:tcW w:w="1359" w:type="dxa"/>
            <w:tcBorders>
              <w:bottom w:val="single" w:sz="4" w:space="0" w:color="auto"/>
            </w:tcBorders>
            <w:tcMar>
              <w:left w:w="115" w:type="dxa"/>
              <w:right w:w="360" w:type="dxa"/>
            </w:tcMar>
            <w:vAlign w:val="center"/>
          </w:tcPr>
          <w:p w:rsidR="00D0211C" w:rsidRPr="00D0211C" w:rsidP="00E929CC">
            <w:pPr>
              <w:keepNext/>
              <w:ind w:right="-174"/>
              <w:jc w:val="right"/>
              <w:rPr>
                <w:snapToGrid w:val="0"/>
                <w:sz w:val="20"/>
                <w:szCs w:val="20"/>
              </w:rPr>
            </w:pPr>
            <w:r w:rsidRPr="00605A39">
              <w:rPr>
                <w:sz w:val="20"/>
                <w:szCs w:val="20"/>
              </w:rPr>
              <w:t>10.96%</w:t>
            </w:r>
          </w:p>
        </w:tc>
      </w:tr>
      <w:tr w:rsidTr="00556BC1">
        <w:tblPrEx>
          <w:tblW w:w="10080" w:type="dxa"/>
          <w:tblInd w:w="-5" w:type="dxa"/>
          <w:tblLook w:val="04A0"/>
        </w:tblPrEx>
        <w:trPr>
          <w:trHeight w:hRule="exact" w:val="288"/>
        </w:trPr>
        <w:tc>
          <w:tcPr>
            <w:tcW w:w="3804" w:type="dxa"/>
            <w:tcBorders>
              <w:bottom w:val="single" w:sz="4" w:space="0" w:color="auto"/>
              <w:right w:val="single" w:sz="4" w:space="0" w:color="auto"/>
            </w:tcBorders>
            <w:vAlign w:val="center"/>
          </w:tcPr>
          <w:p w:rsidR="00D0211C" w:rsidRPr="00D0211C" w:rsidP="00D0211C">
            <w:pPr>
              <w:keepNext/>
              <w:rPr>
                <w:sz w:val="20"/>
                <w:szCs w:val="20"/>
              </w:rPr>
            </w:pPr>
            <w:r w:rsidRPr="0004111A" w:rsidR="00C66222">
              <w:rPr>
                <w:sz w:val="20"/>
                <w:szCs w:val="20"/>
              </w:rPr>
              <w:t>Manhattanville Campus</w:t>
            </w:r>
          </w:p>
        </w:tc>
        <w:tc>
          <w:tcPr>
            <w:tcW w:w="866" w:type="dxa"/>
            <w:tcBorders>
              <w:left w:val="single" w:sz="4" w:space="0" w:color="auto"/>
              <w:bottom w:val="single" w:sz="4" w:space="0" w:color="auto"/>
              <w:right w:val="single" w:sz="24" w:space="0" w:color="auto"/>
            </w:tcBorders>
            <w:shd w:val="clear" w:color="auto" w:fill="auto"/>
            <w:vAlign w:val="center"/>
          </w:tcPr>
          <w:p w:rsidR="00D0211C" w:rsidRPr="00D0211C" w:rsidP="00D0211C">
            <w:pPr>
              <w:keepNext/>
              <w:ind w:right="73"/>
              <w:jc w:val="right"/>
              <w:rPr>
                <w:snapToGrid w:val="0"/>
                <w:sz w:val="20"/>
                <w:szCs w:val="20"/>
              </w:rPr>
            </w:pPr>
            <w:r w:rsidRPr="00605A39">
              <w:rPr>
                <w:sz w:val="20"/>
                <w:szCs w:val="20"/>
              </w:rPr>
              <w:t>57</w:t>
            </w:r>
          </w:p>
        </w:tc>
        <w:tc>
          <w:tcPr>
            <w:tcW w:w="1346" w:type="dxa"/>
            <w:tcBorders>
              <w:left w:val="single" w:sz="24" w:space="0" w:color="auto"/>
              <w:bottom w:val="single" w:sz="4" w:space="0" w:color="auto"/>
              <w:right w:val="single" w:sz="4" w:space="0" w:color="auto"/>
            </w:tcBorders>
            <w:shd w:val="clear" w:color="auto" w:fill="auto"/>
            <w:tcMar>
              <w:left w:w="115" w:type="dxa"/>
              <w:right w:w="274" w:type="dxa"/>
            </w:tcMar>
            <w:vAlign w:val="center"/>
          </w:tcPr>
          <w:p w:rsidR="00D0211C" w:rsidRPr="00D0211C" w:rsidP="00D0211C">
            <w:pPr>
              <w:keepNext/>
              <w:ind w:right="-89"/>
              <w:jc w:val="right"/>
              <w:rPr>
                <w:snapToGrid w:val="0"/>
                <w:sz w:val="20"/>
                <w:szCs w:val="20"/>
              </w:rPr>
            </w:pPr>
            <w:r w:rsidRPr="00605A39">
              <w:rPr>
                <w:sz w:val="20"/>
                <w:szCs w:val="20"/>
              </w:rPr>
              <w:t>9</w:t>
            </w:r>
          </w:p>
        </w:tc>
        <w:tc>
          <w:tcPr>
            <w:tcW w:w="1359" w:type="dxa"/>
            <w:tcBorders>
              <w:left w:val="single" w:sz="4" w:space="0" w:color="auto"/>
              <w:bottom w:val="single" w:sz="4" w:space="0" w:color="auto"/>
              <w:right w:val="single" w:sz="24" w:space="0" w:color="auto"/>
            </w:tcBorders>
            <w:shd w:val="clear" w:color="auto" w:fill="auto"/>
            <w:tcMar>
              <w:left w:w="115" w:type="dxa"/>
              <w:right w:w="317" w:type="dxa"/>
            </w:tcMar>
            <w:vAlign w:val="center"/>
          </w:tcPr>
          <w:p w:rsidR="00D0211C" w:rsidRPr="00D0211C" w:rsidP="00D0211C">
            <w:pPr>
              <w:keepNext/>
              <w:ind w:right="-131"/>
              <w:jc w:val="right"/>
              <w:rPr>
                <w:snapToGrid w:val="0"/>
                <w:sz w:val="20"/>
                <w:szCs w:val="20"/>
              </w:rPr>
            </w:pPr>
            <w:r w:rsidRPr="00605A39">
              <w:rPr>
                <w:sz w:val="20"/>
                <w:szCs w:val="20"/>
              </w:rPr>
              <w:t>15.79%</w:t>
            </w:r>
          </w:p>
        </w:tc>
        <w:tc>
          <w:tcPr>
            <w:tcW w:w="1346" w:type="dxa"/>
            <w:tcBorders>
              <w:left w:val="single" w:sz="24" w:space="0" w:color="auto"/>
              <w:bottom w:val="single" w:sz="4" w:space="0" w:color="auto"/>
            </w:tcBorders>
            <w:tcMar>
              <w:left w:w="115" w:type="dxa"/>
              <w:right w:w="360" w:type="dxa"/>
            </w:tcMar>
            <w:vAlign w:val="center"/>
          </w:tcPr>
          <w:p w:rsidR="00D0211C" w:rsidRPr="00D0211C" w:rsidP="00D0211C">
            <w:pPr>
              <w:keepNext/>
              <w:ind w:right="-175"/>
              <w:jc w:val="right"/>
              <w:rPr>
                <w:snapToGrid w:val="0"/>
                <w:sz w:val="20"/>
                <w:szCs w:val="20"/>
              </w:rPr>
            </w:pPr>
            <w:r w:rsidRPr="00605A39">
              <w:rPr>
                <w:sz w:val="20"/>
                <w:szCs w:val="20"/>
              </w:rPr>
              <w:t>5</w:t>
            </w:r>
          </w:p>
        </w:tc>
        <w:tc>
          <w:tcPr>
            <w:tcW w:w="1359" w:type="dxa"/>
            <w:tcBorders>
              <w:bottom w:val="single" w:sz="4" w:space="0" w:color="auto"/>
            </w:tcBorders>
            <w:tcMar>
              <w:left w:w="115" w:type="dxa"/>
              <w:right w:w="360" w:type="dxa"/>
            </w:tcMar>
            <w:vAlign w:val="center"/>
          </w:tcPr>
          <w:p w:rsidR="00D0211C" w:rsidRPr="00D0211C" w:rsidP="00D0211C">
            <w:pPr>
              <w:keepNext/>
              <w:ind w:right="-174"/>
              <w:jc w:val="right"/>
              <w:rPr>
                <w:snapToGrid w:val="0"/>
                <w:sz w:val="20"/>
                <w:szCs w:val="20"/>
              </w:rPr>
            </w:pPr>
            <w:r w:rsidRPr="00605A39">
              <w:rPr>
                <w:sz w:val="20"/>
                <w:szCs w:val="20"/>
              </w:rPr>
              <w:t>8.77%</w:t>
            </w:r>
          </w:p>
        </w:tc>
      </w:tr>
      <w:tr w:rsidTr="00556BC1">
        <w:tblPrEx>
          <w:tblW w:w="10080" w:type="dxa"/>
          <w:tblInd w:w="-5" w:type="dxa"/>
          <w:tblLook w:val="04A0"/>
        </w:tblPrEx>
        <w:trPr>
          <w:trHeight w:hRule="exact" w:val="288"/>
        </w:trPr>
        <w:tc>
          <w:tcPr>
            <w:tcW w:w="3804" w:type="dxa"/>
            <w:tcBorders>
              <w:right w:val="single" w:sz="4" w:space="0" w:color="auto"/>
            </w:tcBorders>
            <w:vAlign w:val="center"/>
          </w:tcPr>
          <w:p w:rsidR="00D0211C" w:rsidRPr="00D0211C" w:rsidP="00D0211C">
            <w:pPr>
              <w:keepNext/>
              <w:rPr>
                <w:sz w:val="20"/>
                <w:szCs w:val="20"/>
              </w:rPr>
            </w:pPr>
            <w:r w:rsidRPr="0004111A" w:rsidR="0004111A">
              <w:rPr>
                <w:sz w:val="20"/>
                <w:szCs w:val="20"/>
              </w:rPr>
              <w:t>Columbia University Irving Medical Center</w:t>
            </w:r>
          </w:p>
        </w:tc>
        <w:tc>
          <w:tcPr>
            <w:tcW w:w="866" w:type="dxa"/>
            <w:tcBorders>
              <w:left w:val="single" w:sz="4" w:space="0" w:color="auto"/>
              <w:right w:val="single" w:sz="24" w:space="0" w:color="auto"/>
            </w:tcBorders>
            <w:shd w:val="clear" w:color="auto" w:fill="auto"/>
            <w:vAlign w:val="center"/>
          </w:tcPr>
          <w:p w:rsidR="00D0211C" w:rsidRPr="00D0211C" w:rsidP="00D0211C">
            <w:pPr>
              <w:keepNext/>
              <w:ind w:right="73"/>
              <w:jc w:val="right"/>
              <w:rPr>
                <w:snapToGrid w:val="0"/>
                <w:sz w:val="20"/>
                <w:szCs w:val="20"/>
              </w:rPr>
            </w:pPr>
            <w:r w:rsidRPr="00605A39">
              <w:rPr>
                <w:sz w:val="20"/>
                <w:szCs w:val="20"/>
              </w:rPr>
              <w:t>310</w:t>
            </w:r>
          </w:p>
        </w:tc>
        <w:tc>
          <w:tcPr>
            <w:tcW w:w="1346" w:type="dxa"/>
            <w:tcBorders>
              <w:left w:val="single" w:sz="24" w:space="0" w:color="auto"/>
              <w:right w:val="single" w:sz="4" w:space="0" w:color="auto"/>
            </w:tcBorders>
            <w:shd w:val="clear" w:color="auto" w:fill="auto"/>
            <w:tcMar>
              <w:left w:w="115" w:type="dxa"/>
              <w:right w:w="274" w:type="dxa"/>
            </w:tcMar>
            <w:vAlign w:val="center"/>
          </w:tcPr>
          <w:p w:rsidR="00D0211C" w:rsidRPr="00D0211C" w:rsidP="00D0211C">
            <w:pPr>
              <w:keepNext/>
              <w:ind w:right="-89"/>
              <w:jc w:val="right"/>
              <w:rPr>
                <w:snapToGrid w:val="0"/>
                <w:sz w:val="20"/>
                <w:szCs w:val="20"/>
              </w:rPr>
            </w:pPr>
            <w:r w:rsidRPr="00605A39">
              <w:rPr>
                <w:sz w:val="20"/>
                <w:szCs w:val="20"/>
              </w:rPr>
              <w:t>32</w:t>
            </w:r>
          </w:p>
        </w:tc>
        <w:tc>
          <w:tcPr>
            <w:tcW w:w="1359" w:type="dxa"/>
            <w:tcBorders>
              <w:left w:val="single" w:sz="4" w:space="0" w:color="auto"/>
              <w:right w:val="single" w:sz="24" w:space="0" w:color="auto"/>
            </w:tcBorders>
            <w:shd w:val="clear" w:color="auto" w:fill="auto"/>
            <w:tcMar>
              <w:left w:w="115" w:type="dxa"/>
              <w:right w:w="317" w:type="dxa"/>
            </w:tcMar>
            <w:vAlign w:val="center"/>
          </w:tcPr>
          <w:p w:rsidR="00D0211C" w:rsidRPr="00D0211C" w:rsidP="00D0211C">
            <w:pPr>
              <w:keepNext/>
              <w:ind w:right="-131"/>
              <w:jc w:val="right"/>
              <w:rPr>
                <w:snapToGrid w:val="0"/>
                <w:sz w:val="20"/>
                <w:szCs w:val="20"/>
              </w:rPr>
            </w:pPr>
            <w:r w:rsidRPr="00605A39">
              <w:rPr>
                <w:sz w:val="20"/>
                <w:szCs w:val="20"/>
              </w:rPr>
              <w:t>10.32%</w:t>
            </w:r>
          </w:p>
        </w:tc>
        <w:tc>
          <w:tcPr>
            <w:tcW w:w="1346" w:type="dxa"/>
            <w:tcBorders>
              <w:left w:val="single" w:sz="24" w:space="0" w:color="auto"/>
            </w:tcBorders>
            <w:tcMar>
              <w:left w:w="115" w:type="dxa"/>
              <w:right w:w="360" w:type="dxa"/>
            </w:tcMar>
            <w:vAlign w:val="center"/>
          </w:tcPr>
          <w:p w:rsidR="00D0211C" w:rsidRPr="00D0211C" w:rsidP="00D0211C">
            <w:pPr>
              <w:keepNext/>
              <w:ind w:right="-175"/>
              <w:jc w:val="right"/>
              <w:rPr>
                <w:snapToGrid w:val="0"/>
                <w:sz w:val="20"/>
                <w:szCs w:val="20"/>
              </w:rPr>
            </w:pPr>
            <w:r w:rsidRPr="00605A39">
              <w:rPr>
                <w:sz w:val="20"/>
                <w:szCs w:val="20"/>
              </w:rPr>
              <w:t>37</w:t>
            </w:r>
          </w:p>
        </w:tc>
        <w:tc>
          <w:tcPr>
            <w:tcW w:w="1359" w:type="dxa"/>
            <w:tcMar>
              <w:left w:w="115" w:type="dxa"/>
              <w:right w:w="360" w:type="dxa"/>
            </w:tcMar>
            <w:vAlign w:val="center"/>
          </w:tcPr>
          <w:p w:rsidR="00D0211C" w:rsidRPr="00D0211C" w:rsidP="00D0211C">
            <w:pPr>
              <w:keepNext/>
              <w:ind w:right="-174"/>
              <w:jc w:val="right"/>
              <w:rPr>
                <w:snapToGrid w:val="0"/>
                <w:sz w:val="20"/>
                <w:szCs w:val="20"/>
              </w:rPr>
            </w:pPr>
            <w:r w:rsidRPr="00605A39">
              <w:rPr>
                <w:sz w:val="20"/>
                <w:szCs w:val="20"/>
              </w:rPr>
              <w:t>11.94%</w:t>
            </w:r>
          </w:p>
        </w:tc>
      </w:tr>
      <w:tr w:rsidTr="00556BC1">
        <w:tblPrEx>
          <w:tblW w:w="10080" w:type="dxa"/>
          <w:tblInd w:w="-5" w:type="dxa"/>
          <w:tblLook w:val="04A0"/>
        </w:tblPrEx>
        <w:trPr>
          <w:trHeight w:hRule="exact" w:val="288"/>
        </w:trPr>
        <w:tc>
          <w:tcPr>
            <w:tcW w:w="3804" w:type="dxa"/>
            <w:tcBorders>
              <w:right w:val="single" w:sz="4" w:space="0" w:color="auto"/>
            </w:tcBorders>
            <w:vAlign w:val="center"/>
          </w:tcPr>
          <w:p w:rsidR="00D0211C" w:rsidRPr="00D0211C" w:rsidP="00C66222">
            <w:pPr>
              <w:rPr>
                <w:sz w:val="20"/>
                <w:szCs w:val="20"/>
              </w:rPr>
            </w:pPr>
            <w:r w:rsidRPr="0004111A">
              <w:rPr>
                <w:sz w:val="20"/>
                <w:szCs w:val="20"/>
              </w:rPr>
              <w:t xml:space="preserve">Lamont-Doherty Earth Observatory </w:t>
            </w:r>
          </w:p>
        </w:tc>
        <w:tc>
          <w:tcPr>
            <w:tcW w:w="866" w:type="dxa"/>
            <w:tcBorders>
              <w:left w:val="single" w:sz="4" w:space="0" w:color="auto"/>
              <w:right w:val="single" w:sz="24" w:space="0" w:color="auto"/>
            </w:tcBorders>
            <w:shd w:val="clear" w:color="auto" w:fill="auto"/>
            <w:vAlign w:val="center"/>
          </w:tcPr>
          <w:p w:rsidR="00D0211C" w:rsidRPr="00D0211C" w:rsidP="00556BC1">
            <w:pPr>
              <w:ind w:right="73"/>
              <w:jc w:val="right"/>
              <w:rPr>
                <w:snapToGrid w:val="0"/>
                <w:sz w:val="20"/>
                <w:szCs w:val="20"/>
              </w:rPr>
            </w:pPr>
            <w:r w:rsidRPr="00605A39">
              <w:rPr>
                <w:sz w:val="20"/>
                <w:szCs w:val="20"/>
              </w:rPr>
              <w:t>26</w:t>
            </w:r>
          </w:p>
        </w:tc>
        <w:tc>
          <w:tcPr>
            <w:tcW w:w="1346" w:type="dxa"/>
            <w:tcBorders>
              <w:left w:val="single" w:sz="24" w:space="0" w:color="auto"/>
              <w:right w:val="single" w:sz="4" w:space="0" w:color="auto"/>
            </w:tcBorders>
            <w:shd w:val="clear" w:color="auto" w:fill="auto"/>
            <w:tcMar>
              <w:left w:w="115" w:type="dxa"/>
              <w:right w:w="274" w:type="dxa"/>
            </w:tcMar>
            <w:vAlign w:val="center"/>
          </w:tcPr>
          <w:p w:rsidR="00D0211C" w:rsidRPr="00D0211C" w:rsidP="00556BC1">
            <w:pPr>
              <w:ind w:right="-89"/>
              <w:jc w:val="right"/>
              <w:rPr>
                <w:snapToGrid w:val="0"/>
                <w:sz w:val="20"/>
                <w:szCs w:val="20"/>
              </w:rPr>
            </w:pPr>
            <w:r w:rsidRPr="00605A39">
              <w:rPr>
                <w:sz w:val="20"/>
                <w:szCs w:val="20"/>
              </w:rPr>
              <w:t>4</w:t>
            </w:r>
          </w:p>
        </w:tc>
        <w:tc>
          <w:tcPr>
            <w:tcW w:w="1359" w:type="dxa"/>
            <w:tcBorders>
              <w:left w:val="single" w:sz="4" w:space="0" w:color="auto"/>
              <w:right w:val="single" w:sz="24" w:space="0" w:color="auto"/>
            </w:tcBorders>
            <w:shd w:val="clear" w:color="auto" w:fill="auto"/>
            <w:tcMar>
              <w:left w:w="115" w:type="dxa"/>
              <w:right w:w="317" w:type="dxa"/>
            </w:tcMar>
            <w:vAlign w:val="center"/>
          </w:tcPr>
          <w:p w:rsidR="00D0211C" w:rsidRPr="00D0211C" w:rsidP="00556BC1">
            <w:pPr>
              <w:ind w:right="-131"/>
              <w:jc w:val="right"/>
              <w:rPr>
                <w:snapToGrid w:val="0"/>
                <w:sz w:val="20"/>
                <w:szCs w:val="20"/>
              </w:rPr>
            </w:pPr>
            <w:r w:rsidRPr="00605A39">
              <w:rPr>
                <w:sz w:val="20"/>
                <w:szCs w:val="20"/>
              </w:rPr>
              <w:t>15.38%</w:t>
            </w:r>
          </w:p>
        </w:tc>
        <w:tc>
          <w:tcPr>
            <w:tcW w:w="1346" w:type="dxa"/>
            <w:tcBorders>
              <w:left w:val="single" w:sz="24" w:space="0" w:color="auto"/>
            </w:tcBorders>
            <w:tcMar>
              <w:left w:w="115" w:type="dxa"/>
              <w:right w:w="360" w:type="dxa"/>
            </w:tcMar>
            <w:vAlign w:val="center"/>
          </w:tcPr>
          <w:p w:rsidR="00D0211C" w:rsidRPr="00D0211C" w:rsidP="00556BC1">
            <w:pPr>
              <w:ind w:right="-175"/>
              <w:jc w:val="right"/>
              <w:rPr>
                <w:snapToGrid w:val="0"/>
                <w:sz w:val="20"/>
                <w:szCs w:val="20"/>
              </w:rPr>
            </w:pPr>
            <w:r w:rsidRPr="00605A39">
              <w:rPr>
                <w:sz w:val="20"/>
                <w:szCs w:val="20"/>
              </w:rPr>
              <w:t>8</w:t>
            </w:r>
          </w:p>
        </w:tc>
        <w:tc>
          <w:tcPr>
            <w:tcW w:w="1359" w:type="dxa"/>
            <w:tcMar>
              <w:left w:w="115" w:type="dxa"/>
              <w:right w:w="360" w:type="dxa"/>
            </w:tcMar>
            <w:vAlign w:val="center"/>
          </w:tcPr>
          <w:p w:rsidR="00D0211C" w:rsidRPr="00D0211C" w:rsidP="00556BC1">
            <w:pPr>
              <w:ind w:right="-174"/>
              <w:jc w:val="right"/>
              <w:rPr>
                <w:snapToGrid w:val="0"/>
                <w:sz w:val="20"/>
                <w:szCs w:val="20"/>
              </w:rPr>
            </w:pPr>
            <w:r w:rsidRPr="00605A39">
              <w:rPr>
                <w:sz w:val="20"/>
                <w:szCs w:val="20"/>
              </w:rPr>
              <w:t>30.77%</w:t>
            </w:r>
          </w:p>
        </w:tc>
      </w:tr>
    </w:tbl>
    <w:p w:rsidR="00D0211C" w:rsidP="0004111A">
      <w:pPr>
        <w:pStyle w:val="normal1"/>
        <w:spacing w:after="0" w:line="240" w:lineRule="auto"/>
        <w:ind w:right="-86" w:firstLine="0"/>
        <w:rPr>
          <w:sz w:val="22"/>
          <w:szCs w:val="22"/>
          <w:highlight w:val="yellow"/>
        </w:rPr>
      </w:pPr>
    </w:p>
    <w:p w:rsidR="001316C0" w:rsidRPr="00D17CF6" w:rsidP="00E7332F">
      <w:pPr>
        <w:pStyle w:val="normal1"/>
        <w:spacing w:after="120" w:line="240" w:lineRule="auto"/>
        <w:ind w:right="-86" w:firstLine="0"/>
        <w:rPr>
          <w:sz w:val="22"/>
          <w:szCs w:val="22"/>
        </w:rPr>
      </w:pPr>
      <w:r w:rsidR="00F67914">
        <w:rPr>
          <w:sz w:val="22"/>
          <w:szCs w:val="22"/>
        </w:rPr>
        <w:t xml:space="preserve">A Placement Goal is not a quota.  The federal government's position is clear:  "The person best qualified for the position is the one who should be placed in the job without consideration of race or sex."  The applicable regulations further detail the principles that must be followed when Placement Goals are established: </w:t>
      </w:r>
    </w:p>
    <w:p w:rsidR="00AD39E9" w:rsidRPr="00D17CF6" w:rsidP="00E7332F">
      <w:pPr>
        <w:numPr>
          <w:ilvl w:val="3"/>
          <w:numId w:val="21"/>
        </w:numPr>
        <w:tabs>
          <w:tab w:val="num" w:pos="2520"/>
          <w:tab w:val="clear" w:pos="2880"/>
        </w:tabs>
        <w:spacing w:after="120"/>
        <w:ind w:left="720"/>
        <w:rPr>
          <w:sz w:val="22"/>
          <w:szCs w:val="22"/>
        </w:rPr>
      </w:pPr>
      <w:r w:rsidRPr="00D17CF6">
        <w:rPr>
          <w:sz w:val="22"/>
          <w:szCs w:val="22"/>
        </w:rPr>
        <w:t>Placement Goals may not be rigid and inflexible quotas that must be met, nor are they to be considered as either a ceiling or a floor for the employment of particular groups;</w:t>
      </w:r>
    </w:p>
    <w:p w:rsidR="00AD39E9" w:rsidRPr="00D17CF6" w:rsidP="00E7332F">
      <w:pPr>
        <w:numPr>
          <w:ilvl w:val="3"/>
          <w:numId w:val="21"/>
        </w:numPr>
        <w:tabs>
          <w:tab w:val="num" w:pos="2520"/>
          <w:tab w:val="clear" w:pos="2880"/>
        </w:tabs>
        <w:spacing w:after="120"/>
        <w:ind w:left="720"/>
        <w:rPr>
          <w:sz w:val="22"/>
          <w:szCs w:val="22"/>
        </w:rPr>
      </w:pPr>
      <w:r w:rsidRPr="00D17CF6">
        <w:rPr>
          <w:sz w:val="22"/>
          <w:szCs w:val="22"/>
        </w:rPr>
        <w:t xml:space="preserve">Placement Goals are not used as a justification to either extend a preference to any individual, or to select an individual or to adversely affect an individual's employment status on the basis of that individual's race, color, religion, sex, or national origin; </w:t>
      </w:r>
    </w:p>
    <w:p w:rsidR="00AD39E9" w:rsidRPr="00D17CF6" w:rsidP="00E7332F">
      <w:pPr>
        <w:numPr>
          <w:ilvl w:val="3"/>
          <w:numId w:val="21"/>
        </w:numPr>
        <w:tabs>
          <w:tab w:val="num" w:pos="2520"/>
          <w:tab w:val="clear" w:pos="2880"/>
        </w:tabs>
        <w:spacing w:after="120"/>
        <w:ind w:left="720"/>
        <w:rPr>
          <w:sz w:val="22"/>
          <w:szCs w:val="22"/>
        </w:rPr>
      </w:pPr>
      <w:r w:rsidRPr="00D17CF6">
        <w:rPr>
          <w:sz w:val="22"/>
          <w:szCs w:val="22"/>
        </w:rPr>
        <w:t xml:space="preserve">Placement Goals may not create set-asides for specific groups, nor are they intended to achieve proportional representation or equal results; and </w:t>
      </w:r>
    </w:p>
    <w:p w:rsidR="00AD39E9" w:rsidRPr="00D17CF6" w:rsidP="009272E1">
      <w:pPr>
        <w:numPr>
          <w:ilvl w:val="3"/>
          <w:numId w:val="21"/>
        </w:numPr>
        <w:tabs>
          <w:tab w:val="num" w:pos="2520"/>
          <w:tab w:val="clear" w:pos="2880"/>
        </w:tabs>
        <w:ind w:left="720"/>
        <w:rPr>
          <w:sz w:val="22"/>
          <w:szCs w:val="22"/>
        </w:rPr>
      </w:pPr>
      <w:r w:rsidRPr="00D17CF6">
        <w:rPr>
          <w:sz w:val="22"/>
          <w:szCs w:val="22"/>
        </w:rPr>
        <w:t xml:space="preserve">Placement Goals may not supersede merit selection principles.  </w:t>
      </w:r>
    </w:p>
    <w:p w:rsidR="001316C0" w:rsidRPr="00D17CF6" w:rsidP="001316C0">
      <w:pPr>
        <w:rPr>
          <w:sz w:val="22"/>
          <w:szCs w:val="22"/>
        </w:rPr>
      </w:pPr>
    </w:p>
    <w:p w:rsidR="00BE7CED" w:rsidP="00A91374">
      <w:pPr>
        <w:ind w:right="-216"/>
        <w:rPr>
          <w:sz w:val="22"/>
          <w:szCs w:val="22"/>
        </w:rPr>
      </w:pPr>
      <w:r>
        <w:rPr>
          <w:sz w:val="22"/>
          <w:szCs w:val="22"/>
        </w:rPr>
        <w:t xml:space="preserve">The federal government contractor's principal obligation is to utilize "Good Faith Efforts" to achieve the Executive Order Placement Goals.  </w:t>
      </w:r>
    </w:p>
    <w:p w:rsidR="00BE7CED" w:rsidP="00A91374">
      <w:pPr>
        <w:ind w:right="-216"/>
        <w:rPr>
          <w:sz w:val="22"/>
          <w:szCs w:val="22"/>
        </w:rPr>
      </w:pPr>
    </w:p>
    <w:p w:rsidR="00A91374" w:rsidP="00A91374">
      <w:pPr>
        <w:ind w:right="-216"/>
        <w:rPr>
          <w:sz w:val="22"/>
          <w:szCs w:val="22"/>
        </w:rPr>
      </w:pPr>
      <w:r w:rsidRPr="00D17CF6">
        <w:rPr>
          <w:sz w:val="22"/>
          <w:szCs w:val="22"/>
        </w:rPr>
        <w:t>Consistent with the regulatory requirements, Columbia has established its Placement Goals as objectives or targets reasonably attainable by means of applying every good faith effort to make all aspects of its Programs work.</w:t>
      </w:r>
    </w:p>
    <w:p w:rsidR="006B1437" w:rsidRPr="00D17CF6" w:rsidP="00A91374">
      <w:pPr>
        <w:ind w:right="-216"/>
        <w:rPr>
          <w:sz w:val="22"/>
          <w:szCs w:val="22"/>
        </w:rPr>
      </w:pPr>
    </w:p>
    <w:p w:rsidR="006B1437" w:rsidRPr="00D17CF6" w:rsidP="006B1437">
      <w:pPr>
        <w:pStyle w:val="ListParagraph"/>
        <w:keepNext/>
        <w:numPr>
          <w:ilvl w:val="0"/>
          <w:numId w:val="24"/>
        </w:numPr>
        <w:ind w:left="720"/>
        <w:rPr>
          <w:b/>
          <w:smallCaps/>
          <w:color w:val="0033A0"/>
          <w:sz w:val="22"/>
          <w:szCs w:val="22"/>
        </w:rPr>
      </w:pPr>
      <w:r w:rsidRPr="00D17CF6">
        <w:rPr>
          <w:b/>
          <w:smallCaps/>
          <w:color w:val="0033A0"/>
          <w:sz w:val="22"/>
          <w:szCs w:val="22"/>
        </w:rPr>
        <w:t>Good Faith Efforts</w:t>
      </w:r>
    </w:p>
    <w:p w:rsidR="006B1437" w:rsidRPr="00D17CF6" w:rsidP="006B1437">
      <w:pPr>
        <w:pStyle w:val="ListParagraph"/>
        <w:keepNext/>
        <w:ind w:left="1080"/>
        <w:rPr>
          <w:sz w:val="22"/>
          <w:szCs w:val="22"/>
        </w:rPr>
      </w:pPr>
    </w:p>
    <w:p w:rsidR="006B1437" w:rsidP="006B1437">
      <w:pPr>
        <w:rPr>
          <w:sz w:val="22"/>
          <w:szCs w:val="22"/>
        </w:rPr>
      </w:pPr>
      <w:r w:rsidRPr="00D17CF6">
        <w:rPr>
          <w:sz w:val="22"/>
          <w:szCs w:val="22"/>
        </w:rPr>
        <w:t xml:space="preserve">As part of its Affirmative Action Programs and, also, as part of its commitment to equal employment opportunity and to diversity, Columbia has developed many Action-Oriented initiatives that are designed to attain established goals and objectives and to foster an inclusive working environment where all can thrive.  </w:t>
      </w:r>
    </w:p>
    <w:p w:rsidR="008A2983" w:rsidP="006B1437">
      <w:pPr>
        <w:rPr>
          <w:sz w:val="22"/>
          <w:szCs w:val="22"/>
        </w:rPr>
      </w:pPr>
    </w:p>
    <w:p w:rsidR="008A2983" w:rsidRPr="00D17CF6" w:rsidP="006B1437">
      <w:pPr>
        <w:rPr>
          <w:i/>
          <w:sz w:val="22"/>
          <w:szCs w:val="22"/>
        </w:rPr>
      </w:pPr>
      <w:r>
        <w:rPr>
          <w:sz w:val="22"/>
          <w:szCs w:val="22"/>
        </w:rPr>
        <w:t xml:space="preserve">Whether a Placement Goal that has been established in a Job Group for a particular Affirmative Action Program year is met will depend on opportunities -- as measured by the openings for a hire/appointment or a promotion during the year.  In some Job Groups, mostly at the Tenured rank of Officers of Instruction, there is little attrition and, thus, fewer opportunities to meet a Placement Goal.  In other Job Groups, there are greater opportunities and the developed initiatives have served Columbia well in having a relatively small percentage of Job Groups with Placement Goals.  </w:t>
      </w:r>
    </w:p>
    <w:p w:rsidR="00E17FA7" w:rsidRPr="00D17CF6">
      <w:pPr>
        <w:pStyle w:val="normal1"/>
        <w:spacing w:after="0" w:line="240" w:lineRule="auto"/>
        <w:ind w:firstLine="0"/>
        <w:rPr>
          <w:sz w:val="22"/>
          <w:szCs w:val="22"/>
        </w:rPr>
      </w:pPr>
    </w:p>
    <w:p w:rsidR="00F67B52" w:rsidRPr="00D17CF6" w:rsidP="00D9301E">
      <w:pPr>
        <w:pStyle w:val="normal1"/>
        <w:keepNext/>
        <w:numPr>
          <w:ilvl w:val="0"/>
          <w:numId w:val="24"/>
        </w:numPr>
        <w:spacing w:after="0" w:line="240" w:lineRule="auto"/>
        <w:ind w:left="720"/>
        <w:rPr>
          <w:b/>
          <w:smallCaps/>
          <w:color w:val="0033A0"/>
          <w:sz w:val="22"/>
          <w:szCs w:val="22"/>
        </w:rPr>
      </w:pPr>
      <w:r w:rsidRPr="00D17CF6" w:rsidR="00751E98">
        <w:rPr>
          <w:b/>
          <w:smallCaps/>
          <w:color w:val="0033A0"/>
          <w:sz w:val="22"/>
          <w:szCs w:val="22"/>
        </w:rPr>
        <w:t>The Affirmative Action Programs under Section 503 and VEVRAA</w:t>
      </w:r>
    </w:p>
    <w:p w:rsidR="00D9301E" w:rsidRPr="00D17CF6" w:rsidP="00D9301E">
      <w:pPr>
        <w:pStyle w:val="normal1"/>
        <w:keepNext/>
        <w:spacing w:after="0" w:line="240" w:lineRule="auto"/>
        <w:ind w:left="720" w:firstLine="0"/>
        <w:rPr>
          <w:b/>
          <w:smallCaps/>
          <w:color w:val="0033A0"/>
          <w:sz w:val="22"/>
          <w:szCs w:val="22"/>
        </w:rPr>
      </w:pPr>
    </w:p>
    <w:p w:rsidR="00F77589" w:rsidRPr="00D17CF6" w:rsidP="00E7332F">
      <w:pPr>
        <w:pStyle w:val="RSBodyText"/>
        <w:spacing w:after="120"/>
        <w:rPr>
          <w:sz w:val="22"/>
          <w:szCs w:val="22"/>
        </w:rPr>
      </w:pPr>
      <w:r w:rsidRPr="00D17CF6">
        <w:rPr>
          <w:sz w:val="22"/>
          <w:szCs w:val="22"/>
        </w:rPr>
        <w:t xml:space="preserve">The regulations to Section 503 and VEVRAA each require the maintenance of a written affirmative action program.  The Narrative Component for both consists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5"/>
        <w:gridCol w:w="5035"/>
      </w:tblGrid>
      <w:tr w:rsidTr="0064296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35" w:type="dxa"/>
          </w:tcPr>
          <w:p w:rsidR="00642961" w:rsidRPr="00D17CF6" w:rsidP="00DB6614">
            <w:pPr>
              <w:pStyle w:val="RSBodyText"/>
              <w:spacing w:after="0"/>
              <w:ind w:left="705" w:hanging="345"/>
              <w:rPr>
                <w:sz w:val="22"/>
                <w:szCs w:val="22"/>
              </w:rPr>
            </w:pPr>
            <w:r w:rsidRPr="00D17CF6">
              <w:rPr>
                <w:sz w:val="22"/>
                <w:szCs w:val="22"/>
              </w:rPr>
              <w:t>(a)</w:t>
              <w:tab/>
              <w:t xml:space="preserve">Policy Statement </w:t>
            </w:r>
          </w:p>
          <w:p w:rsidR="00642961" w:rsidRPr="00D17CF6" w:rsidP="00DB6614">
            <w:pPr>
              <w:pStyle w:val="RSBodyText"/>
              <w:spacing w:after="0"/>
              <w:ind w:left="705" w:hanging="345"/>
              <w:rPr>
                <w:sz w:val="22"/>
                <w:szCs w:val="22"/>
              </w:rPr>
            </w:pPr>
            <w:r w:rsidRPr="00D17CF6">
              <w:rPr>
                <w:sz w:val="22"/>
                <w:szCs w:val="22"/>
              </w:rPr>
              <w:t>(b)</w:t>
              <w:tab/>
              <w:t>Review of Personnel Processes</w:t>
            </w:r>
          </w:p>
          <w:p w:rsidR="00642961" w:rsidRPr="00D17CF6" w:rsidP="00DB6614">
            <w:pPr>
              <w:pStyle w:val="RSBodyText"/>
              <w:spacing w:after="0"/>
              <w:ind w:left="705" w:hanging="345"/>
              <w:rPr>
                <w:sz w:val="22"/>
                <w:szCs w:val="22"/>
              </w:rPr>
            </w:pPr>
            <w:r w:rsidRPr="00D17CF6">
              <w:rPr>
                <w:sz w:val="22"/>
                <w:szCs w:val="22"/>
              </w:rPr>
              <w:t>(c)</w:t>
              <w:tab/>
              <w:t>Physical and Mental Qualifications</w:t>
            </w:r>
          </w:p>
          <w:p w:rsidR="00642961" w:rsidRPr="00D17CF6" w:rsidP="00DB6614">
            <w:pPr>
              <w:pStyle w:val="RSBodyText"/>
              <w:spacing w:after="0"/>
              <w:ind w:left="705" w:hanging="345"/>
              <w:rPr>
                <w:sz w:val="22"/>
                <w:szCs w:val="22"/>
              </w:rPr>
            </w:pPr>
            <w:r w:rsidRPr="00D17CF6">
              <w:rPr>
                <w:sz w:val="22"/>
                <w:szCs w:val="22"/>
              </w:rPr>
              <w:t>(d)</w:t>
              <w:tab/>
              <w:t>Reasonable Accommodation</w:t>
            </w:r>
          </w:p>
          <w:p w:rsidR="00642961" w:rsidRPr="00D17CF6" w:rsidP="00DB6614">
            <w:pPr>
              <w:pStyle w:val="RSBodyText"/>
              <w:spacing w:after="0"/>
              <w:ind w:left="705" w:hanging="345"/>
              <w:rPr>
                <w:sz w:val="22"/>
                <w:szCs w:val="22"/>
              </w:rPr>
            </w:pPr>
            <w:r w:rsidRPr="00D17CF6">
              <w:rPr>
                <w:sz w:val="22"/>
                <w:szCs w:val="22"/>
              </w:rPr>
              <w:t>(e)</w:t>
              <w:tab/>
              <w:t>Non-Harassment</w:t>
            </w:r>
          </w:p>
          <w:p w:rsidR="00642961" w:rsidRPr="00D17CF6" w:rsidP="00DB6614">
            <w:pPr>
              <w:pStyle w:val="RSBodyText"/>
              <w:spacing w:after="0"/>
              <w:ind w:left="705" w:hanging="345"/>
              <w:rPr>
                <w:sz w:val="22"/>
                <w:szCs w:val="22"/>
              </w:rPr>
            </w:pPr>
            <w:r w:rsidRPr="00D17CF6">
              <w:rPr>
                <w:sz w:val="22"/>
                <w:szCs w:val="22"/>
              </w:rPr>
              <w:t>(f)</w:t>
              <w:tab/>
              <w:t>External Dissemination of Policy</w:t>
            </w:r>
          </w:p>
        </w:tc>
        <w:tc>
          <w:tcPr>
            <w:tcW w:w="5035" w:type="dxa"/>
          </w:tcPr>
          <w:p w:rsidR="00642961" w:rsidRPr="00D17CF6" w:rsidP="00DB6614">
            <w:pPr>
              <w:pStyle w:val="RSBodyText"/>
              <w:tabs>
                <w:tab w:val="left" w:pos="345"/>
              </w:tabs>
              <w:spacing w:after="0"/>
              <w:rPr>
                <w:sz w:val="22"/>
                <w:szCs w:val="22"/>
              </w:rPr>
            </w:pPr>
            <w:r w:rsidRPr="00D17CF6">
              <w:rPr>
                <w:sz w:val="22"/>
                <w:szCs w:val="22"/>
              </w:rPr>
              <w:t>(g)</w:t>
              <w:tab/>
              <w:t>Internal Dissemination of Policy</w:t>
            </w:r>
          </w:p>
          <w:p w:rsidR="00642961" w:rsidRPr="00D17CF6" w:rsidP="00DB6614">
            <w:pPr>
              <w:pStyle w:val="RSBodyText"/>
              <w:tabs>
                <w:tab w:val="left" w:pos="345"/>
              </w:tabs>
              <w:spacing w:after="0"/>
              <w:rPr>
                <w:sz w:val="22"/>
                <w:szCs w:val="22"/>
              </w:rPr>
            </w:pPr>
            <w:r w:rsidRPr="00D17CF6">
              <w:rPr>
                <w:sz w:val="22"/>
                <w:szCs w:val="22"/>
              </w:rPr>
              <w:t>(h)</w:t>
              <w:tab/>
              <w:t>Audit and Reporting System</w:t>
            </w:r>
          </w:p>
          <w:p w:rsidR="00642961" w:rsidRPr="00D17CF6" w:rsidP="00DB6614">
            <w:pPr>
              <w:pStyle w:val="RSBodyText"/>
              <w:tabs>
                <w:tab w:val="left" w:pos="345"/>
              </w:tabs>
              <w:spacing w:after="0"/>
              <w:rPr>
                <w:sz w:val="22"/>
                <w:szCs w:val="22"/>
              </w:rPr>
            </w:pPr>
            <w:r w:rsidRPr="00D17CF6">
              <w:rPr>
                <w:sz w:val="22"/>
                <w:szCs w:val="22"/>
              </w:rPr>
              <w:t>(i)</w:t>
              <w:tab/>
              <w:t>Responsibility for Implementation</w:t>
            </w:r>
          </w:p>
          <w:p w:rsidR="00642961" w:rsidRPr="00D17CF6" w:rsidP="00DB6614">
            <w:pPr>
              <w:pStyle w:val="RSBodyText"/>
              <w:tabs>
                <w:tab w:val="left" w:pos="345"/>
              </w:tabs>
              <w:spacing w:after="0"/>
              <w:rPr>
                <w:sz w:val="22"/>
                <w:szCs w:val="22"/>
              </w:rPr>
            </w:pPr>
            <w:r w:rsidRPr="00D17CF6">
              <w:rPr>
                <w:sz w:val="22"/>
                <w:szCs w:val="22"/>
              </w:rPr>
              <w:t>(j)</w:t>
              <w:tab/>
              <w:t>Training</w:t>
            </w:r>
          </w:p>
          <w:p w:rsidR="00642961" w:rsidRPr="00D17CF6" w:rsidP="00DB6614">
            <w:pPr>
              <w:pStyle w:val="RSBodyText"/>
              <w:tabs>
                <w:tab w:val="left" w:pos="345"/>
              </w:tabs>
              <w:spacing w:after="0"/>
              <w:rPr>
                <w:sz w:val="22"/>
                <w:szCs w:val="22"/>
              </w:rPr>
            </w:pPr>
            <w:r w:rsidRPr="00D17CF6">
              <w:rPr>
                <w:sz w:val="22"/>
                <w:szCs w:val="22"/>
              </w:rPr>
              <w:t>(k)</w:t>
              <w:tab/>
              <w:t>Data Collection Analysis</w:t>
            </w:r>
          </w:p>
        </w:tc>
      </w:tr>
    </w:tbl>
    <w:p w:rsidR="00642961" w:rsidRPr="00D17CF6" w:rsidP="00771A4D">
      <w:pPr>
        <w:pStyle w:val="RSBodyText"/>
        <w:spacing w:after="0"/>
        <w:rPr>
          <w:sz w:val="22"/>
          <w:szCs w:val="22"/>
        </w:rPr>
      </w:pPr>
    </w:p>
    <w:p w:rsidR="0025491D" w:rsidRPr="00D17CF6" w:rsidP="00E455FA">
      <w:pPr>
        <w:pStyle w:val="RSBodyText"/>
        <w:rPr>
          <w:sz w:val="22"/>
          <w:szCs w:val="22"/>
        </w:rPr>
      </w:pPr>
      <w:r w:rsidRPr="00D17CF6">
        <w:rPr>
          <w:sz w:val="22"/>
          <w:szCs w:val="22"/>
        </w:rPr>
        <w:t>There is also a Numbers Component.  Under the implementing regulations to Section 503, contractors are required to set a Utilization Goal of 7% for the employment of Individuals with Disabilities in each of its Job Groups.  Under the regulations to VEVRAA, the federal government has set a Benchmark for Hiring</w:t>
      </w:r>
      <w:r w:rsidRPr="00D17CF6">
        <w:rPr>
          <w:i/>
          <w:sz w:val="22"/>
          <w:szCs w:val="22"/>
        </w:rPr>
        <w:t xml:space="preserve"> </w:t>
      </w:r>
      <w:r w:rsidRPr="00D17CF6">
        <w:rPr>
          <w:sz w:val="22"/>
          <w:szCs w:val="22"/>
        </w:rPr>
        <w:t xml:space="preserve">of Veterans.  The current Benchmark is 5.7% </w:t>
      </w:r>
      <w:r w:rsidRPr="00D17CF6">
        <w:rPr>
          <w:sz w:val="22"/>
          <w:szCs w:val="22"/>
        </w:rPr>
        <w:noBreakHyphen/>
      </w:r>
      <w:r w:rsidRPr="00D17CF6">
        <w:rPr>
          <w:sz w:val="22"/>
          <w:szCs w:val="22"/>
        </w:rPr>
        <w:noBreakHyphen/>
        <w:t xml:space="preserve"> meaning that such percentage of the individuals appointed or hired during the Plan Year should be a Protected Veteran.  The Benchmark is applied on an overall Campus basis -- and not by Job Group. </w:t>
      </w:r>
    </w:p>
    <w:p w:rsidR="008A2983" w:rsidP="00E455FA">
      <w:pPr>
        <w:pStyle w:val="RSBodyText"/>
        <w:rPr>
          <w:sz w:val="22"/>
          <w:szCs w:val="22"/>
        </w:rPr>
      </w:pPr>
      <w:r w:rsidRPr="00D17CF6">
        <w:rPr>
          <w:sz w:val="22"/>
          <w:szCs w:val="22"/>
        </w:rPr>
        <w:t xml:space="preserve">Neither the Utilization Goal nor the Benchmark for Hiring is a quota.  The applicable regulations provide that: "The utilization goal [or the benchmark for hiring] is not a rigid and inflexible quota which must be met, nor is it to be considered either a ceiling or a floor for the employment of particular groups.  Quotas are expressly forbidden."  </w:t>
      </w:r>
    </w:p>
    <w:p w:rsidR="0025491D" w:rsidP="00E455FA">
      <w:pPr>
        <w:pStyle w:val="RSBodyText"/>
        <w:rPr>
          <w:sz w:val="22"/>
          <w:szCs w:val="22"/>
        </w:rPr>
      </w:pPr>
      <w:r w:rsidR="00E47EE4">
        <w:rPr>
          <w:sz w:val="22"/>
          <w:szCs w:val="22"/>
        </w:rPr>
        <w:t>The Section 503 / VEVRAA Programs for each of the four Campuses are, as required by law, available for review in the Office of Equal Opportunity and Affirmative Action.</w:t>
      </w:r>
    </w:p>
    <w:p w:rsidR="00313AEE" w:rsidRPr="00313AEE" w:rsidP="00313AEE">
      <w:pPr>
        <w:pStyle w:val="normal1"/>
        <w:keepNext/>
        <w:numPr>
          <w:ilvl w:val="0"/>
          <w:numId w:val="24"/>
        </w:numPr>
        <w:spacing w:after="0" w:line="240" w:lineRule="auto"/>
        <w:ind w:left="720"/>
        <w:rPr>
          <w:rFonts w:ascii="Times New Roman Bold" w:hAnsi="Times New Roman Bold"/>
          <w:b/>
          <w:smallCaps/>
          <w:color w:val="0033A0"/>
          <w:sz w:val="22"/>
          <w:szCs w:val="22"/>
        </w:rPr>
      </w:pPr>
      <w:r w:rsidRPr="00313AEE">
        <w:rPr>
          <w:rFonts w:ascii="Times New Roman Bold" w:hAnsi="Times New Roman Bold"/>
          <w:b/>
          <w:smallCaps/>
          <w:color w:val="0033A0"/>
          <w:sz w:val="22"/>
          <w:szCs w:val="22"/>
        </w:rPr>
        <w:t>Monitoring of Progress</w:t>
      </w:r>
    </w:p>
    <w:p w:rsidR="00313AEE" w:rsidRPr="00D17CF6" w:rsidP="00313AEE">
      <w:pPr>
        <w:pStyle w:val="RSBodyText"/>
        <w:keepNext/>
        <w:spacing w:after="0"/>
        <w:rPr>
          <w:sz w:val="22"/>
          <w:szCs w:val="22"/>
        </w:rPr>
      </w:pPr>
    </w:p>
    <w:p w:rsidR="0025491D" w:rsidRPr="00D17CF6" w:rsidP="00D17CF6">
      <w:pPr>
        <w:rPr>
          <w:i/>
          <w:sz w:val="22"/>
          <w:szCs w:val="22"/>
        </w:rPr>
      </w:pPr>
      <w:r>
        <w:rPr>
          <w:sz w:val="22"/>
          <w:szCs w:val="22"/>
        </w:rPr>
        <w:t xml:space="preserve">The Affirmative Action Programs are not a paperwork exercise.  Rather, the progress in meeting Placement Goals, Utilization Goals, and Benchmarks for Hiring is monitored throughout the year by Columbia's Office of Equal Opportunity and Affirmative Action.  Reports are provided to the stakeholders in the Administrative and Academic Units on each Campus.  Ultimately, responsibility for the administration of Columbia's equal opportunity, non-discrimination, and affirmative action policies and procedures rests with the Managers and Supervisors in each Unit.  A collective effort is required to assure that Columbia's commitments are fulfilled.  </w:t>
      </w:r>
    </w:p>
    <w:sectPr w:rsidSect="00E7332F">
      <w:footerReference w:type="default" r:id="rId13"/>
      <w:pgSz w:w="12240" w:h="15840" w:code="1"/>
      <w:pgMar w:top="1080" w:right="1080" w:bottom="864" w:left="1080" w:header="720" w:footer="576" w:gutter="0"/>
      <w:paperSrc w:first="15" w:other="15"/>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F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F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A26" w:rsidRPr="000C6A26" w:rsidP="000C6A26">
    <w:pPr>
      <w:pStyle w:val="Footer"/>
      <w:jc w:val="center"/>
      <w:rPr>
        <w:sz w:val="22"/>
        <w:szCs w:val="22"/>
      </w:rPr>
    </w:pPr>
    <w:r w:rsidRPr="000C6A26">
      <w:rPr>
        <w:sz w:val="22"/>
        <w:szCs w:val="22"/>
      </w:rPr>
      <w:fldChar w:fldCharType="begin"/>
    </w:r>
    <w:r w:rsidRPr="000C6A26">
      <w:rPr>
        <w:sz w:val="22"/>
        <w:szCs w:val="22"/>
      </w:rPr>
      <w:instrText xml:space="preserve"> PAGE   \* MERGEFORMAT </w:instrText>
    </w:r>
    <w:r w:rsidRPr="000C6A26">
      <w:rPr>
        <w:sz w:val="22"/>
        <w:szCs w:val="22"/>
      </w:rPr>
      <w:fldChar w:fldCharType="separate"/>
    </w:r>
    <w:r w:rsidR="00C05CCD">
      <w:rPr>
        <w:noProof/>
        <w:sz w:val="22"/>
        <w:szCs w:val="22"/>
      </w:rPr>
      <w:t>3</w:t>
    </w:r>
    <w:r w:rsidRPr="000C6A26">
      <w:rPr>
        <w:noProof/>
        <w:sz w:val="22"/>
        <w:szCs w:val="22"/>
      </w:rPr>
      <w:fldChar w:fldCharType="end"/>
    </w:r>
    <w:r w:rsidR="00E7332F">
      <w:rPr>
        <w:noProof/>
        <w:sz w:val="22"/>
        <w:szCs w:val="22"/>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08">
    <w:pPr>
      <w:pStyle w:val="Header"/>
      <w:tabs>
        <w:tab w:val="clear" w:pos="4320"/>
        <w:tab w:val="center" w:pos="4680"/>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08">
    <w:pPr>
      <w:pStyle w:val="Header"/>
      <w:tabs>
        <w:tab w:val="clear" w:pos="4320"/>
        <w:tab w:val="center" w:pos="4680"/>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CF22D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E50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094A5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25222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4A67B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578C1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77AE0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A884B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D9C1094"/>
    <w:lvl w:ilvl="0">
      <w:start w:val="1"/>
      <w:numFmt w:val="decimal"/>
      <w:pStyle w:val="ListNumber"/>
      <w:lvlText w:val="%1."/>
      <w:lvlJc w:val="left"/>
      <w:pPr>
        <w:tabs>
          <w:tab w:val="num" w:pos="360"/>
        </w:tabs>
        <w:ind w:left="360" w:hanging="360"/>
      </w:pPr>
    </w:lvl>
  </w:abstractNum>
  <w:abstractNum w:abstractNumId="9">
    <w:nsid w:val="FFFFFF89"/>
    <w:multiLevelType w:val="singleLevel"/>
    <w:tmpl w:val="41B06F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160DDB"/>
    <w:multiLevelType w:val="hybridMultilevel"/>
    <w:tmpl w:val="7CF2EA8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000000" w:themeColor="text1"/>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3FE197D"/>
    <w:multiLevelType w:val="hybridMultilevel"/>
    <w:tmpl w:val="80B05AE4"/>
    <w:lvl w:ilvl="0">
      <w:start w:val="1"/>
      <w:numFmt w:val="bullet"/>
      <w:pStyle w:val="RSBulletedList"/>
      <w:lvlText w:val=""/>
      <w:lvlJc w:val="left"/>
      <w:pPr>
        <w:tabs>
          <w:tab w:val="num" w:pos="1440"/>
        </w:tabs>
        <w:ind w:left="144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99D2A26"/>
    <w:multiLevelType w:val="hybridMultilevel"/>
    <w:tmpl w:val="3BC68CA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DD92443"/>
    <w:multiLevelType w:val="hybridMultilevel"/>
    <w:tmpl w:val="DFC2DA6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C7C2F63"/>
    <w:multiLevelType w:val="hybridMultilevel"/>
    <w:tmpl w:val="A21800B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E7C4B8A"/>
    <w:multiLevelType w:val="hybridMultilevel"/>
    <w:tmpl w:val="A192FD5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30F468D"/>
    <w:multiLevelType w:val="hybridMultilevel"/>
    <w:tmpl w:val="837A67C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F4A22C4"/>
    <w:multiLevelType w:val="hybridMultilevel"/>
    <w:tmpl w:val="EED4D1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0D41A0E"/>
    <w:multiLevelType w:val="hybridMultilevel"/>
    <w:tmpl w:val="8C145A8A"/>
    <w:lvl w:ilvl="0">
      <w:start w:val="1"/>
      <w:numFmt w:val="bullet"/>
      <w:lvlText w:val=""/>
      <w:lvlJc w:val="left"/>
      <w:pPr>
        <w:tabs>
          <w:tab w:val="num" w:pos="720"/>
        </w:tabs>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50EF36D1"/>
    <w:multiLevelType w:val="hybridMultilevel"/>
    <w:tmpl w:val="190076EA"/>
    <w:lvl w:ilvl="0">
      <w:start w:val="1"/>
      <w:numFmt w:val="lowerRoman"/>
      <w:lvlText w:val="(%1)"/>
      <w:lvlJc w:val="left"/>
      <w:pPr>
        <w:ind w:left="780" w:hanging="72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0">
    <w:nsid w:val="51A55FC2"/>
    <w:multiLevelType w:val="hybridMultilevel"/>
    <w:tmpl w:val="A05A0674"/>
    <w:lvl w:ilvl="0">
      <w:start w:val="1"/>
      <w:numFmt w:val="decimal"/>
      <w:pStyle w:val="RSHangingNumbers"/>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5A03435"/>
    <w:multiLevelType w:val="hybridMultilevel"/>
    <w:tmpl w:val="3E581814"/>
    <w:lvl w:ilvl="0">
      <w:start w:val="1"/>
      <w:numFmt w:val="bullet"/>
      <w:lvlText w:val="•"/>
      <w:lvlJc w:val="left"/>
      <w:pPr>
        <w:tabs>
          <w:tab w:val="num" w:pos="720"/>
        </w:tabs>
        <w:ind w:left="720" w:hanging="360"/>
      </w:pPr>
      <w:rPr>
        <w:rFonts w:ascii="Arial" w:hAnsi="Arial" w:hint="default"/>
      </w:rPr>
    </w:lvl>
    <w:lvl w:ilvl="1">
      <w:start w:val="110"/>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2">
    <w:nsid w:val="665177A6"/>
    <w:multiLevelType w:val="hybridMultilevel"/>
    <w:tmpl w:val="E90AA6B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3">
    <w:nsid w:val="6D0E134D"/>
    <w:multiLevelType w:val="hybridMultilevel"/>
    <w:tmpl w:val="7B3C1212"/>
    <w:lvl w:ilvl="0">
      <w:start w:val="1"/>
      <w:numFmt w:val="decimal"/>
      <w:lvlText w:val="%1."/>
      <w:lvlJc w:val="left"/>
      <w:pPr>
        <w:ind w:left="1260" w:hanging="54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6D2D3202"/>
    <w:multiLevelType w:val="hybridMultilevel"/>
    <w:tmpl w:val="572C837E"/>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5">
    <w:nsid w:val="6F9A2ADE"/>
    <w:multiLevelType w:val="hybridMultilevel"/>
    <w:tmpl w:val="116E2F9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0360E13"/>
    <w:multiLevelType w:val="hybridMultilevel"/>
    <w:tmpl w:val="542A37D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7">
    <w:nsid w:val="72964287"/>
    <w:multiLevelType w:val="hybridMultilevel"/>
    <w:tmpl w:val="D876D494"/>
    <w:lvl w:ilvl="0">
      <w:start w:val="1"/>
      <w:numFmt w:val="upperRoman"/>
      <w:lvlText w:val="%1."/>
      <w:lvlJc w:val="left"/>
      <w:pPr>
        <w:ind w:left="780" w:hanging="72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8">
    <w:nsid w:val="76AB54F2"/>
    <w:multiLevelType w:val="multilevel"/>
    <w:tmpl w:val="1FB0086C"/>
    <w:name w:val="RS Standard"/>
    <w:lvl w:ilvl="0">
      <w:start w:val="1"/>
      <w:numFmt w:val="decimal"/>
      <w:pStyle w:val="Heading1"/>
      <w:lvlText w:val="%1."/>
      <w:lvlJc w:val="left"/>
      <w:pPr>
        <w:tabs>
          <w:tab w:val="num" w:pos="720"/>
        </w:tabs>
        <w:ind w:left="720" w:hanging="720"/>
      </w:pPr>
      <w:rPr>
        <w:caps w:val="0"/>
        <w:color w:val="000000"/>
        <w:u w:val="none"/>
      </w:rPr>
    </w:lvl>
    <w:lvl w:ilvl="1">
      <w:start w:val="1"/>
      <w:numFmt w:val="lowerLetter"/>
      <w:pStyle w:val="Heading2"/>
      <w:lvlText w:val="(%2)"/>
      <w:lvlJc w:val="left"/>
      <w:pPr>
        <w:tabs>
          <w:tab w:val="num" w:pos="1440"/>
        </w:tabs>
        <w:ind w:left="1440" w:hanging="720"/>
      </w:pPr>
      <w:rPr>
        <w:b w:val="0"/>
        <w:i w:val="0"/>
        <w:caps w:val="0"/>
        <w:color w:val="000000"/>
        <w:u w:val="none"/>
      </w:rPr>
    </w:lvl>
    <w:lvl w:ilvl="2">
      <w:start w:val="1"/>
      <w:numFmt w:val="lowerRoman"/>
      <w:pStyle w:val="Heading3"/>
      <w:lvlText w:val="(%3)"/>
      <w:lvlJc w:val="left"/>
      <w:pPr>
        <w:tabs>
          <w:tab w:val="num" w:pos="2160"/>
        </w:tabs>
        <w:ind w:left="2160" w:hanging="720"/>
      </w:pPr>
      <w:rPr>
        <w:b w:val="0"/>
        <w:i w:val="0"/>
        <w:caps w:val="0"/>
        <w:color w:val="000000"/>
        <w:u w:val="none"/>
      </w:rPr>
    </w:lvl>
    <w:lvl w:ilvl="3">
      <w:start w:val="1"/>
      <w:numFmt w:val="upperLetter"/>
      <w:pStyle w:val="Heading4"/>
      <w:lvlText w:val="(%4)"/>
      <w:lvlJc w:val="left"/>
      <w:pPr>
        <w:tabs>
          <w:tab w:val="num" w:pos="2880"/>
        </w:tabs>
        <w:ind w:left="2880" w:hanging="720"/>
      </w:pPr>
      <w:rPr>
        <w:b w:val="0"/>
        <w:i w:val="0"/>
        <w:caps w:val="0"/>
        <w:color w:val="000000"/>
        <w:u w:val="none"/>
      </w:rPr>
    </w:lvl>
    <w:lvl w:ilvl="4">
      <w:start w:val="1"/>
      <w:numFmt w:val="decimal"/>
      <w:pStyle w:val="Heading5"/>
      <w:lvlText w:val="(%5)"/>
      <w:lvlJc w:val="left"/>
      <w:pPr>
        <w:tabs>
          <w:tab w:val="num" w:pos="3600"/>
        </w:tabs>
        <w:ind w:left="3600" w:hanging="720"/>
      </w:pPr>
      <w:rPr>
        <w:caps w:val="0"/>
        <w:color w:val="000000"/>
        <w:u w:val="none"/>
      </w:rPr>
    </w:lvl>
    <w:lvl w:ilvl="5">
      <w:start w:val="1"/>
      <w:numFmt w:val="lowerLetter"/>
      <w:pStyle w:val="Heading6"/>
      <w:lvlText w:val="%6)"/>
      <w:lvlJc w:val="left"/>
      <w:pPr>
        <w:tabs>
          <w:tab w:val="num" w:pos="4320"/>
        </w:tabs>
        <w:ind w:left="4320" w:hanging="720"/>
      </w:pPr>
      <w:rPr>
        <w:caps w:val="0"/>
        <w:color w:val="000000"/>
        <w:u w:val="none"/>
      </w:rPr>
    </w:lvl>
    <w:lvl w:ilvl="6">
      <w:start w:val="1"/>
      <w:numFmt w:val="lowerRoman"/>
      <w:pStyle w:val="Heading7"/>
      <w:lvlText w:val="(%7)"/>
      <w:lvlJc w:val="left"/>
      <w:pPr>
        <w:tabs>
          <w:tab w:val="num" w:pos="5040"/>
        </w:tabs>
        <w:ind w:left="5040" w:hanging="720"/>
      </w:pPr>
      <w:rPr>
        <w:caps w:val="0"/>
        <w:color w:val="000000"/>
        <w:u w:val="none"/>
      </w:rPr>
    </w:lvl>
    <w:lvl w:ilvl="7">
      <w:start w:val="1"/>
      <w:numFmt w:val="lowerLetter"/>
      <w:pStyle w:val="Heading8"/>
      <w:lvlText w:val="(%8)"/>
      <w:lvlJc w:val="left"/>
      <w:pPr>
        <w:tabs>
          <w:tab w:val="num" w:pos="5760"/>
        </w:tabs>
        <w:ind w:left="5760" w:hanging="720"/>
      </w:pPr>
      <w:rPr>
        <w:caps w:val="0"/>
        <w:color w:val="000000"/>
        <w:u w:val="none"/>
      </w:rPr>
    </w:lvl>
    <w:lvl w:ilvl="8">
      <w:start w:val="1"/>
      <w:numFmt w:val="lowerRoman"/>
      <w:pStyle w:val="Heading9"/>
      <w:lvlText w:val="(%9)"/>
      <w:lvlJc w:val="left"/>
      <w:pPr>
        <w:tabs>
          <w:tab w:val="num" w:pos="6480"/>
        </w:tabs>
        <w:ind w:left="6480" w:hanging="720"/>
      </w:pPr>
      <w:rPr>
        <w:caps w:val="0"/>
        <w:color w:val="000000"/>
        <w:u w:val="none"/>
      </w:rPr>
    </w:lvl>
  </w:abstractNum>
  <w:abstractNum w:abstractNumId="29">
    <w:nsid w:val="7AB5476B"/>
    <w:multiLevelType w:val="hybridMultilevel"/>
    <w:tmpl w:val="1F5C52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AC81C92"/>
    <w:multiLevelType w:val="hybridMultilevel"/>
    <w:tmpl w:val="BB4E21AC"/>
    <w:lvl w:ilvl="0">
      <w:start w:val="1"/>
      <w:numFmt w:val="decimal"/>
      <w:pStyle w:val="RSNumberedList"/>
      <w:lvlText w:val="%1."/>
      <w:lvlJc w:val="left"/>
      <w:pPr>
        <w:tabs>
          <w:tab w:val="num" w:pos="720"/>
        </w:tabs>
        <w:ind w:left="0" w:firstLine="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30"/>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29"/>
  </w:num>
  <w:num w:numId="17">
    <w:abstractNumId w:val="21"/>
  </w:num>
  <w:num w:numId="18">
    <w:abstractNumId w:val="18"/>
  </w:num>
  <w:num w:numId="19">
    <w:abstractNumId w:val="24"/>
  </w:num>
  <w:num w:numId="20">
    <w:abstractNumId w:val="26"/>
  </w:num>
  <w:num w:numId="21">
    <w:abstractNumId w:val="10"/>
  </w:num>
  <w:num w:numId="22">
    <w:abstractNumId w:val="27"/>
  </w:num>
  <w:num w:numId="23">
    <w:abstractNumId w:val="25"/>
  </w:num>
  <w:num w:numId="24">
    <w:abstractNumId w:val="14"/>
  </w:num>
  <w:num w:numId="25">
    <w:abstractNumId w:val="22"/>
  </w:num>
  <w:num w:numId="26">
    <w:abstractNumId w:val="17"/>
  </w:num>
  <w:num w:numId="27">
    <w:abstractNumId w:val="23"/>
  </w:num>
  <w:num w:numId="28">
    <w:abstractNumId w:val="13"/>
  </w:num>
  <w:num w:numId="29">
    <w:abstractNumId w:val="19"/>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proofState w:spelling="clean"/>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720"/>
  <w:drawingGridHorizontalSpacing w:val="120"/>
  <w:displayHorizontalDrawingGridEvery w:val="2"/>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501038"/>
    <w:docVar w:name="DocIDAuthor" w:val="True"/>
    <w:docVar w:name="DocIDClientMatter" w:val="False"/>
    <w:docVar w:name="DocIDDate" w:val="False"/>
    <w:docVar w:name="DocIDDateText" w:val="False"/>
    <w:docVar w:name="DocIDLibrary" w:val="True"/>
    <w:docVar w:name="DocIDTime" w:val="False"/>
    <w:docVar w:name="DocIDType" w:val="AllPages"/>
    <w:docVar w:name="DocIDTypist" w:val="False"/>
    <w:docVar w:name="MatterNumber" w:val="5003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F8E"/>
    <w:rPr>
      <w:sz w:val="24"/>
      <w:szCs w:val="24"/>
    </w:rPr>
  </w:style>
  <w:style w:type="paragraph" w:styleId="Heading1">
    <w:name w:val="heading 1"/>
    <w:basedOn w:val="Normal"/>
    <w:next w:val="RSBodyText"/>
    <w:qFormat/>
    <w:pPr>
      <w:numPr>
        <w:numId w:val="4"/>
      </w:numPr>
      <w:tabs>
        <w:tab w:val="clear" w:pos="720"/>
      </w:tabs>
      <w:spacing w:after="240"/>
      <w:outlineLvl w:val="0"/>
    </w:pPr>
    <w:rPr>
      <w:szCs w:val="20"/>
    </w:rPr>
  </w:style>
  <w:style w:type="paragraph" w:styleId="Heading2">
    <w:name w:val="heading 2"/>
    <w:basedOn w:val="Normal"/>
    <w:next w:val="RSBodyText"/>
    <w:qFormat/>
    <w:pPr>
      <w:numPr>
        <w:ilvl w:val="1"/>
        <w:numId w:val="4"/>
      </w:numPr>
      <w:tabs>
        <w:tab w:val="clear" w:pos="1440"/>
      </w:tabs>
      <w:spacing w:after="240"/>
      <w:outlineLvl w:val="1"/>
    </w:pPr>
    <w:rPr>
      <w:szCs w:val="20"/>
    </w:rPr>
  </w:style>
  <w:style w:type="paragraph" w:styleId="Heading3">
    <w:name w:val="heading 3"/>
    <w:basedOn w:val="Normal"/>
    <w:next w:val="RSBodyText"/>
    <w:qFormat/>
    <w:pPr>
      <w:numPr>
        <w:ilvl w:val="2"/>
        <w:numId w:val="4"/>
      </w:numPr>
      <w:tabs>
        <w:tab w:val="clear" w:pos="2160"/>
      </w:tabs>
      <w:spacing w:after="240"/>
      <w:outlineLvl w:val="2"/>
    </w:pPr>
    <w:rPr>
      <w:szCs w:val="20"/>
    </w:rPr>
  </w:style>
  <w:style w:type="paragraph" w:styleId="Heading4">
    <w:name w:val="heading 4"/>
    <w:basedOn w:val="Normal"/>
    <w:next w:val="RSBodyText"/>
    <w:qFormat/>
    <w:pPr>
      <w:numPr>
        <w:ilvl w:val="3"/>
        <w:numId w:val="4"/>
      </w:numPr>
      <w:tabs>
        <w:tab w:val="clear" w:pos="2880"/>
      </w:tabs>
      <w:spacing w:after="240"/>
      <w:outlineLvl w:val="3"/>
    </w:pPr>
    <w:rPr>
      <w:szCs w:val="20"/>
    </w:rPr>
  </w:style>
  <w:style w:type="paragraph" w:styleId="Heading5">
    <w:name w:val="heading 5"/>
    <w:basedOn w:val="Normal"/>
    <w:next w:val="RSBodyText"/>
    <w:qFormat/>
    <w:pPr>
      <w:numPr>
        <w:ilvl w:val="4"/>
        <w:numId w:val="4"/>
      </w:numPr>
      <w:tabs>
        <w:tab w:val="clear" w:pos="3600"/>
      </w:tabs>
      <w:spacing w:after="240"/>
      <w:outlineLvl w:val="4"/>
    </w:pPr>
    <w:rPr>
      <w:szCs w:val="20"/>
    </w:rPr>
  </w:style>
  <w:style w:type="paragraph" w:styleId="Heading6">
    <w:name w:val="heading 6"/>
    <w:basedOn w:val="Normal"/>
    <w:next w:val="RSBodyText"/>
    <w:qFormat/>
    <w:pPr>
      <w:numPr>
        <w:ilvl w:val="5"/>
        <w:numId w:val="4"/>
      </w:numPr>
      <w:tabs>
        <w:tab w:val="clear" w:pos="4320"/>
      </w:tabs>
      <w:spacing w:after="240"/>
      <w:outlineLvl w:val="5"/>
    </w:pPr>
    <w:rPr>
      <w:szCs w:val="20"/>
    </w:rPr>
  </w:style>
  <w:style w:type="paragraph" w:styleId="Heading7">
    <w:name w:val="heading 7"/>
    <w:basedOn w:val="Normal"/>
    <w:next w:val="RSBodyText"/>
    <w:qFormat/>
    <w:pPr>
      <w:numPr>
        <w:ilvl w:val="6"/>
        <w:numId w:val="4"/>
      </w:numPr>
      <w:tabs>
        <w:tab w:val="clear" w:pos="5040"/>
      </w:tabs>
      <w:spacing w:after="240"/>
      <w:outlineLvl w:val="6"/>
    </w:pPr>
  </w:style>
  <w:style w:type="paragraph" w:styleId="Heading8">
    <w:name w:val="heading 8"/>
    <w:basedOn w:val="Normal"/>
    <w:next w:val="RSBodyText"/>
    <w:qFormat/>
    <w:pPr>
      <w:numPr>
        <w:ilvl w:val="7"/>
        <w:numId w:val="4"/>
      </w:numPr>
      <w:tabs>
        <w:tab w:val="clear" w:pos="5760"/>
      </w:tabs>
      <w:spacing w:after="240"/>
      <w:outlineLvl w:val="7"/>
    </w:pPr>
  </w:style>
  <w:style w:type="paragraph" w:styleId="Heading9">
    <w:name w:val="heading 9"/>
    <w:basedOn w:val="Normal"/>
    <w:next w:val="RSBodyText"/>
    <w:qFormat/>
    <w:pPr>
      <w:numPr>
        <w:ilvl w:val="8"/>
        <w:numId w:val="4"/>
      </w:numPr>
      <w:tabs>
        <w:tab w:val="clear" w:pos="648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BodyText">
    <w:name w:val="RS Body Text"/>
    <w:basedOn w:val="Normal"/>
    <w:link w:val="RSBodyTextChar"/>
    <w:qFormat/>
    <w:pPr>
      <w:spacing w:after="240"/>
    </w:pPr>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Hyperlink">
    <w:name w:val="Hyperlink"/>
    <w:rPr>
      <w:color w:val="0000FF"/>
      <w:u w:val="single"/>
    </w:rPr>
  </w:style>
  <w:style w:type="paragraph" w:customStyle="1" w:styleId="normal1">
    <w:name w:val="normal1"/>
    <w:basedOn w:val="Normal"/>
    <w:pPr>
      <w:spacing w:after="240" w:line="480" w:lineRule="exact"/>
      <w:ind w:firstLine="1440"/>
    </w:pPr>
    <w:rPr>
      <w:szCs w:val="20"/>
    </w:rPr>
  </w:style>
  <w:style w:type="character" w:styleId="Strong">
    <w:name w:val="Strong"/>
    <w:qFormat/>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ytextbold">
    <w:name w:val="gray_text_bold"/>
    <w:basedOn w:val="Normal"/>
    <w:pPr>
      <w:spacing w:before="100" w:beforeAutospacing="1" w:after="100" w:afterAutospacing="1"/>
    </w:pPr>
    <w:rPr>
      <w:rFonts w:ascii="Arial" w:hAnsi="Arial" w:cs="Arial"/>
      <w:b/>
      <w:bCs/>
      <w:color w:val="999999"/>
      <w:sz w:val="13"/>
      <w:szCs w:val="13"/>
    </w:rPr>
  </w:style>
  <w:style w:type="paragraph" w:styleId="BodyTextIndent">
    <w:name w:val="Body Text Indent"/>
    <w:basedOn w:val="Normal"/>
    <w:pPr>
      <w:tabs>
        <w:tab w:val="left" w:pos="1440"/>
      </w:tabs>
      <w:spacing w:after="120" w:line="240" w:lineRule="exact"/>
      <w:ind w:left="360"/>
    </w:pPr>
    <w:rPr>
      <w:szCs w:val="20"/>
    </w:rPr>
  </w:style>
  <w:style w:type="paragraph" w:styleId="NormalWeb">
    <w:name w:val="Normal (Web)"/>
    <w:basedOn w:val="Normal"/>
    <w:uiPriority w:val="99"/>
    <w:pPr>
      <w:spacing w:before="115" w:after="115" w:line="202" w:lineRule="atLeast"/>
    </w:pPr>
    <w:rPr>
      <w:rFonts w:ascii="Verdana" w:hAnsi="Verdana"/>
      <w:color w:val="666666"/>
      <w:sz w:val="17"/>
      <w:szCs w:val="17"/>
    </w:rPr>
  </w:style>
  <w:style w:type="paragraph" w:customStyle="1" w:styleId="Footerchangefromprevious">
    <w:name w:val="Footer change from previous"/>
    <w:basedOn w:val="Footer"/>
  </w:style>
  <w:style w:type="paragraph" w:styleId="TOC1">
    <w:name w:val="toc 1"/>
    <w:basedOn w:val="Normal"/>
    <w:next w:val="Normal"/>
    <w:pPr>
      <w:tabs>
        <w:tab w:val="right" w:leader="dot" w:pos="9360"/>
      </w:tabs>
      <w:ind w:left="720" w:right="720" w:hanging="720"/>
    </w:pPr>
    <w:rPr>
      <w:noProof/>
    </w:rPr>
  </w:style>
  <w:style w:type="character" w:styleId="EndnoteReference">
    <w:name w:val="endnote reference"/>
    <w:rPr>
      <w:position w:val="4"/>
      <w:sz w:val="20"/>
      <w:szCs w:val="20"/>
      <w:vertAlign w:val="baseline"/>
    </w:rPr>
  </w:style>
  <w:style w:type="paragraph" w:styleId="EndnoteText">
    <w:name w:val="endnote text"/>
    <w:basedOn w:val="Normal"/>
    <w:rPr>
      <w:sz w:val="20"/>
      <w:szCs w:val="20"/>
    </w:rPr>
  </w:style>
  <w:style w:type="paragraph" w:styleId="TOC2">
    <w:name w:val="toc 2"/>
    <w:basedOn w:val="Normal"/>
    <w:next w:val="Normal"/>
    <w:pPr>
      <w:tabs>
        <w:tab w:val="right" w:leader="dot" w:pos="9360"/>
      </w:tabs>
      <w:ind w:left="1440" w:right="720" w:hanging="720"/>
    </w:pPr>
    <w:rPr>
      <w:noProof/>
    </w:rPr>
  </w:style>
  <w:style w:type="character" w:customStyle="1" w:styleId="DocID">
    <w:name w:val="DocID"/>
    <w:rPr>
      <w:rFonts w:ascii="Arial" w:hAnsi="Arial"/>
      <w:noProof/>
      <w:sz w:val="12"/>
      <w:lang w:val="en-US"/>
    </w:rPr>
  </w:style>
  <w:style w:type="paragraph" w:customStyle="1" w:styleId="RSBlockText">
    <w:name w:val="RS Block Text"/>
    <w:basedOn w:val="Normal"/>
    <w:pPr>
      <w:spacing w:after="240"/>
      <w:jc w:val="both"/>
    </w:pPr>
  </w:style>
  <w:style w:type="paragraph" w:customStyle="1" w:styleId="RSBodyText15">
    <w:name w:val="RS Body Text 1.5"/>
    <w:basedOn w:val="Normal"/>
    <w:pPr>
      <w:spacing w:after="360"/>
    </w:pPr>
  </w:style>
  <w:style w:type="paragraph" w:customStyle="1" w:styleId="RSBodyText15Inch">
    <w:name w:val="RS Body Text 1.5 Inch"/>
    <w:basedOn w:val="Normal"/>
    <w:pPr>
      <w:spacing w:after="360"/>
      <w:ind w:firstLine="1440"/>
    </w:pPr>
  </w:style>
  <w:style w:type="paragraph" w:customStyle="1" w:styleId="RSBodyTextDbl">
    <w:name w:val="RS Body Text Dbl"/>
    <w:basedOn w:val="Normal"/>
    <w:pPr>
      <w:spacing w:after="480"/>
    </w:pPr>
  </w:style>
  <w:style w:type="paragraph" w:customStyle="1" w:styleId="RSBodyTextDblInch">
    <w:name w:val="RS Body Text Dbl Inch"/>
    <w:basedOn w:val="Normal"/>
    <w:pPr>
      <w:spacing w:after="480"/>
      <w:ind w:firstLine="1440"/>
    </w:pPr>
  </w:style>
  <w:style w:type="paragraph" w:customStyle="1" w:styleId="RSBodyTextFull">
    <w:name w:val="RS Body Text Full"/>
    <w:basedOn w:val="Normal"/>
    <w:pPr>
      <w:spacing w:after="240"/>
      <w:jc w:val="both"/>
    </w:pPr>
  </w:style>
  <w:style w:type="paragraph" w:customStyle="1" w:styleId="RSBodyTextInch">
    <w:name w:val="RS Body Text Inch"/>
    <w:basedOn w:val="Normal"/>
    <w:pPr>
      <w:spacing w:after="240"/>
      <w:ind w:firstLine="1440"/>
    </w:pPr>
  </w:style>
  <w:style w:type="paragraph" w:customStyle="1" w:styleId="RSBulletedList">
    <w:name w:val="RS Bulleted List"/>
    <w:basedOn w:val="Normal"/>
    <w:pPr>
      <w:numPr>
        <w:numId w:val="1"/>
      </w:numPr>
      <w:spacing w:after="240"/>
      <w:ind w:right="720"/>
      <w:contextualSpacing/>
    </w:pPr>
  </w:style>
  <w:style w:type="paragraph" w:customStyle="1" w:styleId="RSDblQuote">
    <w:name w:val="RS Dbl Quote"/>
    <w:basedOn w:val="Normal"/>
    <w:pPr>
      <w:spacing w:after="480"/>
      <w:ind w:left="720" w:right="720"/>
    </w:pPr>
  </w:style>
  <w:style w:type="paragraph" w:customStyle="1" w:styleId="RSHangingNumbers">
    <w:name w:val="RS Hanging Numbers"/>
    <w:basedOn w:val="Normal"/>
    <w:pPr>
      <w:numPr>
        <w:numId w:val="2"/>
      </w:numPr>
      <w:spacing w:after="240"/>
    </w:pPr>
  </w:style>
  <w:style w:type="paragraph" w:customStyle="1" w:styleId="RSNumberedList">
    <w:name w:val="RS Numbered List"/>
    <w:basedOn w:val="Normal"/>
    <w:pPr>
      <w:numPr>
        <w:numId w:val="3"/>
      </w:numPr>
      <w:spacing w:after="240"/>
    </w:pPr>
  </w:style>
  <w:style w:type="paragraph" w:customStyle="1" w:styleId="RSQuote">
    <w:name w:val="RS Quote"/>
    <w:basedOn w:val="Normal"/>
    <w:pPr>
      <w:spacing w:after="240"/>
      <w:ind w:left="720" w:right="720"/>
    </w:pPr>
  </w:style>
  <w:style w:type="paragraph" w:customStyle="1" w:styleId="RSTableText">
    <w:name w:val="RS Table Text"/>
    <w:basedOn w:val="Normal"/>
  </w:style>
  <w:style w:type="paragraph" w:customStyle="1" w:styleId="RSTitle">
    <w:name w:val="RS Title"/>
    <w:basedOn w:val="Normal"/>
    <w:next w:val="RSBodyText"/>
    <w:pPr>
      <w:keepNext/>
      <w:keepLines/>
      <w:spacing w:after="240"/>
      <w:jc w:val="center"/>
      <w:outlineLvl w:val="0"/>
    </w:pPr>
    <w:rPr>
      <w:b/>
      <w:u w:val="single"/>
    </w:rPr>
  </w:style>
  <w:style w:type="paragraph" w:customStyle="1" w:styleId="RSSign">
    <w:name w:val="RS Sign"/>
    <w:basedOn w:val="Normal"/>
    <w:pPr>
      <w:keepNext/>
      <w:keepLines/>
      <w:tabs>
        <w:tab w:val="right" w:pos="9360"/>
      </w:tabs>
      <w:spacing w:after="240"/>
      <w:ind w:left="4680"/>
    </w:pPr>
  </w:style>
  <w:style w:type="paragraph" w:styleId="TOC3">
    <w:name w:val="toc 3"/>
    <w:basedOn w:val="Normal"/>
    <w:next w:val="Normal"/>
    <w:pPr>
      <w:tabs>
        <w:tab w:val="right" w:leader="dot" w:pos="9360"/>
      </w:tabs>
      <w:ind w:left="2160" w:right="720" w:hanging="720"/>
    </w:pPr>
    <w:rPr>
      <w:noProof/>
    </w:rPr>
  </w:style>
  <w:style w:type="paragraph" w:styleId="TOC4">
    <w:name w:val="toc 4"/>
    <w:basedOn w:val="Normal"/>
    <w:next w:val="Normal"/>
    <w:pPr>
      <w:tabs>
        <w:tab w:val="right" w:leader="dot" w:pos="9360"/>
      </w:tabs>
      <w:ind w:left="2880" w:right="720" w:hanging="720"/>
    </w:pPr>
    <w:rPr>
      <w:noProof/>
    </w:rPr>
  </w:style>
  <w:style w:type="paragraph" w:styleId="TOC5">
    <w:name w:val="toc 5"/>
    <w:basedOn w:val="Normal"/>
    <w:next w:val="Normal"/>
    <w:pPr>
      <w:tabs>
        <w:tab w:val="right" w:leader="dot" w:pos="9360"/>
      </w:tabs>
      <w:ind w:left="3600" w:right="720" w:hanging="720"/>
    </w:pPr>
    <w:rPr>
      <w:noProof/>
    </w:rPr>
  </w:style>
  <w:style w:type="paragraph" w:styleId="TOC6">
    <w:name w:val="toc 6"/>
    <w:basedOn w:val="Normal"/>
    <w:next w:val="Normal"/>
    <w:pPr>
      <w:tabs>
        <w:tab w:val="right" w:leader="dot" w:pos="9360"/>
      </w:tabs>
      <w:ind w:left="4320" w:right="720" w:hanging="720"/>
    </w:pPr>
    <w:rPr>
      <w:noProof/>
    </w:rPr>
  </w:style>
  <w:style w:type="paragraph" w:styleId="TOC7">
    <w:name w:val="toc 7"/>
    <w:basedOn w:val="Normal"/>
    <w:next w:val="Normal"/>
    <w:pPr>
      <w:tabs>
        <w:tab w:val="right" w:leader="dot" w:pos="9360"/>
      </w:tabs>
      <w:ind w:left="5040" w:right="720" w:hanging="720"/>
    </w:pPr>
    <w:rPr>
      <w:noProof/>
    </w:rPr>
  </w:style>
  <w:style w:type="paragraph" w:styleId="TOC8">
    <w:name w:val="toc 8"/>
    <w:basedOn w:val="Normal"/>
    <w:next w:val="Normal"/>
    <w:pPr>
      <w:tabs>
        <w:tab w:val="right" w:leader="dot" w:pos="9360"/>
      </w:tabs>
      <w:ind w:left="5040" w:hanging="720"/>
    </w:pPr>
    <w:rPr>
      <w:noProof/>
    </w:rPr>
  </w:style>
  <w:style w:type="paragraph" w:styleId="TOC9">
    <w:name w:val="toc 9"/>
    <w:basedOn w:val="Normal"/>
    <w:next w:val="Normal"/>
    <w:pPr>
      <w:tabs>
        <w:tab w:val="right" w:leader="dot" w:pos="9360"/>
      </w:tabs>
      <w:ind w:left="5040" w:right="720" w:hanging="72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tabs>
        <w:tab w:val="clear" w:pos="1440"/>
      </w:tabs>
      <w:spacing w:line="240" w:lineRule="auto"/>
      <w:ind w:firstLine="210"/>
    </w:pPr>
    <w:rPr>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uiPriority w:val="20"/>
    <w:qFormat/>
    <w:rPr>
      <w:i/>
      <w:iCs/>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paragraph" w:styleId="Index1">
    <w:name w:val="index 1"/>
    <w:basedOn w:val="Normal"/>
    <w:next w:val="Normal"/>
    <w:autoRedefine/>
    <w:semiHidden/>
    <w:pPr>
      <w:ind w:left="240" w:hanging="240"/>
    </w:p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5"/>
      </w:numPr>
    </w:pPr>
  </w:style>
  <w:style w:type="paragraph" w:styleId="ListBullet2">
    <w:name w:val="List Bullet 2"/>
    <w:basedOn w:val="Normal"/>
    <w:pPr>
      <w:numPr>
        <w:numId w:val="6"/>
      </w:numPr>
    </w:pPr>
  </w:style>
  <w:style w:type="paragraph" w:styleId="ListBullet3">
    <w:name w:val="List Bullet 3"/>
    <w:basedOn w:val="Normal"/>
    <w:pPr>
      <w:numPr>
        <w:numId w:val="7"/>
      </w:numPr>
    </w:pPr>
  </w:style>
  <w:style w:type="paragraph" w:styleId="ListBullet4">
    <w:name w:val="List Bullet 4"/>
    <w:basedOn w:val="Normal"/>
    <w:pPr>
      <w:numPr>
        <w:numId w:val="8"/>
      </w:numPr>
    </w:pPr>
  </w:style>
  <w:style w:type="paragraph" w:styleId="ListBullet5">
    <w:name w:val="List Bullet 5"/>
    <w:basedOn w:val="Normal"/>
    <w:pPr>
      <w:numPr>
        <w:numId w:val="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customStyle="1"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link w:val="SignatureChar"/>
    <w:pPr>
      <w:ind w:left="4320"/>
    </w:p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boldtext1">
    <w:name w:val="boldtext1"/>
    <w:rPr>
      <w:b/>
      <w:bCs/>
    </w:rPr>
  </w:style>
  <w:style w:type="paragraph" w:styleId="Bibliography">
    <w:name w:val="Bibliography"/>
    <w:basedOn w:val="Normal"/>
    <w:next w:val="Normal"/>
    <w:uiPriority w:val="37"/>
    <w:semiHidden/>
    <w:unhideWhenUsed/>
    <w:rsid w:val="002866B9"/>
  </w:style>
  <w:style w:type="paragraph" w:styleId="Caption">
    <w:name w:val="caption"/>
    <w:basedOn w:val="Normal"/>
    <w:next w:val="Normal"/>
    <w:semiHidden/>
    <w:unhideWhenUsed/>
    <w:qFormat/>
    <w:rsid w:val="002866B9"/>
    <w:pPr>
      <w:spacing w:after="200"/>
    </w:pPr>
    <w:rPr>
      <w:b/>
      <w:bCs/>
      <w:color w:val="4F81BD" w:themeColor="accent1"/>
      <w:sz w:val="18"/>
      <w:szCs w:val="18"/>
    </w:rPr>
  </w:style>
  <w:style w:type="paragraph" w:styleId="CommentSubject">
    <w:name w:val="annotation subject"/>
    <w:basedOn w:val="CommentText"/>
    <w:next w:val="CommentText"/>
    <w:link w:val="CommentSubjectChar"/>
    <w:rsid w:val="002866B9"/>
    <w:rPr>
      <w:b/>
      <w:bCs/>
    </w:rPr>
  </w:style>
  <w:style w:type="character" w:customStyle="1" w:styleId="CommentTextChar">
    <w:name w:val="Comment Text Char"/>
    <w:basedOn w:val="DefaultParagraphFont"/>
    <w:link w:val="CommentText"/>
    <w:semiHidden/>
    <w:rsid w:val="002866B9"/>
  </w:style>
  <w:style w:type="character" w:customStyle="1" w:styleId="CommentSubjectChar">
    <w:name w:val="Comment Subject Char"/>
    <w:basedOn w:val="CommentTextChar"/>
    <w:link w:val="CommentSubject"/>
    <w:rsid w:val="002866B9"/>
    <w:rPr>
      <w:b/>
      <w:bCs/>
    </w:rPr>
  </w:style>
  <w:style w:type="paragraph" w:styleId="DocumentMap">
    <w:name w:val="Document Map"/>
    <w:basedOn w:val="Normal"/>
    <w:link w:val="DocumentMapChar"/>
    <w:rsid w:val="002866B9"/>
    <w:rPr>
      <w:rFonts w:ascii="Tahoma" w:hAnsi="Tahoma" w:cs="Tahoma"/>
      <w:sz w:val="16"/>
      <w:szCs w:val="16"/>
    </w:rPr>
  </w:style>
  <w:style w:type="character" w:customStyle="1" w:styleId="DocumentMapChar">
    <w:name w:val="Document Map Char"/>
    <w:basedOn w:val="DefaultParagraphFont"/>
    <w:link w:val="DocumentMap"/>
    <w:rsid w:val="002866B9"/>
    <w:rPr>
      <w:rFonts w:ascii="Tahoma" w:hAnsi="Tahoma" w:cs="Tahoma"/>
      <w:sz w:val="16"/>
      <w:szCs w:val="16"/>
    </w:rPr>
  </w:style>
  <w:style w:type="paragraph" w:styleId="FootnoteText">
    <w:name w:val="footnote text"/>
    <w:basedOn w:val="Normal"/>
    <w:link w:val="FootnoteTextChar"/>
    <w:rsid w:val="002866B9"/>
    <w:rPr>
      <w:sz w:val="20"/>
      <w:szCs w:val="20"/>
    </w:rPr>
  </w:style>
  <w:style w:type="character" w:customStyle="1" w:styleId="FootnoteTextChar">
    <w:name w:val="Footnote Text Char"/>
    <w:basedOn w:val="DefaultParagraphFont"/>
    <w:link w:val="FootnoteText"/>
    <w:rsid w:val="002866B9"/>
  </w:style>
  <w:style w:type="paragraph" w:styleId="Index2">
    <w:name w:val="index 2"/>
    <w:basedOn w:val="Normal"/>
    <w:next w:val="Normal"/>
    <w:autoRedefine/>
    <w:rsid w:val="002866B9"/>
    <w:pPr>
      <w:ind w:left="480" w:hanging="240"/>
    </w:pPr>
  </w:style>
  <w:style w:type="paragraph" w:styleId="Index3">
    <w:name w:val="index 3"/>
    <w:basedOn w:val="Normal"/>
    <w:next w:val="Normal"/>
    <w:autoRedefine/>
    <w:rsid w:val="002866B9"/>
    <w:pPr>
      <w:ind w:left="720" w:hanging="240"/>
    </w:pPr>
  </w:style>
  <w:style w:type="paragraph" w:styleId="Index4">
    <w:name w:val="index 4"/>
    <w:basedOn w:val="Normal"/>
    <w:next w:val="Normal"/>
    <w:autoRedefine/>
    <w:rsid w:val="002866B9"/>
    <w:pPr>
      <w:ind w:left="960" w:hanging="240"/>
    </w:pPr>
  </w:style>
  <w:style w:type="paragraph" w:styleId="Index5">
    <w:name w:val="index 5"/>
    <w:basedOn w:val="Normal"/>
    <w:next w:val="Normal"/>
    <w:autoRedefine/>
    <w:rsid w:val="002866B9"/>
    <w:pPr>
      <w:ind w:left="1200" w:hanging="240"/>
    </w:pPr>
  </w:style>
  <w:style w:type="paragraph" w:styleId="Index6">
    <w:name w:val="index 6"/>
    <w:basedOn w:val="Normal"/>
    <w:next w:val="Normal"/>
    <w:autoRedefine/>
    <w:rsid w:val="002866B9"/>
    <w:pPr>
      <w:ind w:left="1440" w:hanging="240"/>
    </w:pPr>
  </w:style>
  <w:style w:type="paragraph" w:styleId="Index7">
    <w:name w:val="index 7"/>
    <w:basedOn w:val="Normal"/>
    <w:next w:val="Normal"/>
    <w:autoRedefine/>
    <w:rsid w:val="002866B9"/>
    <w:pPr>
      <w:ind w:left="1680" w:hanging="240"/>
    </w:pPr>
  </w:style>
  <w:style w:type="paragraph" w:styleId="Index8">
    <w:name w:val="index 8"/>
    <w:basedOn w:val="Normal"/>
    <w:next w:val="Normal"/>
    <w:autoRedefine/>
    <w:rsid w:val="002866B9"/>
    <w:pPr>
      <w:ind w:left="1920" w:hanging="240"/>
    </w:pPr>
  </w:style>
  <w:style w:type="paragraph" w:styleId="Index9">
    <w:name w:val="index 9"/>
    <w:basedOn w:val="Normal"/>
    <w:next w:val="Normal"/>
    <w:autoRedefine/>
    <w:rsid w:val="002866B9"/>
    <w:pPr>
      <w:ind w:left="2160" w:hanging="240"/>
    </w:pPr>
  </w:style>
  <w:style w:type="paragraph" w:styleId="IndexHeading">
    <w:name w:val="index heading"/>
    <w:basedOn w:val="Normal"/>
    <w:next w:val="Index1"/>
    <w:rsid w:val="002866B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866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66B9"/>
    <w:rPr>
      <w:b/>
      <w:bCs/>
      <w:i/>
      <w:iCs/>
      <w:color w:val="4F81BD" w:themeColor="accent1"/>
      <w:sz w:val="24"/>
      <w:szCs w:val="24"/>
    </w:rPr>
  </w:style>
  <w:style w:type="paragraph" w:styleId="ListParagraph">
    <w:name w:val="List Paragraph"/>
    <w:basedOn w:val="Normal"/>
    <w:uiPriority w:val="34"/>
    <w:qFormat/>
    <w:rsid w:val="002866B9"/>
    <w:pPr>
      <w:ind w:left="720"/>
      <w:contextualSpacing/>
    </w:pPr>
  </w:style>
  <w:style w:type="paragraph" w:styleId="Macro">
    <w:name w:val="macro"/>
    <w:link w:val="MacroTextChar"/>
    <w:rsid w:val="002866B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
    <w:rsid w:val="002866B9"/>
    <w:rPr>
      <w:rFonts w:ascii="Consolas" w:hAnsi="Consolas"/>
    </w:rPr>
  </w:style>
  <w:style w:type="paragraph" w:styleId="NoSpacing">
    <w:name w:val="No Spacing"/>
    <w:uiPriority w:val="1"/>
    <w:qFormat/>
    <w:rsid w:val="002866B9"/>
    <w:rPr>
      <w:sz w:val="24"/>
      <w:szCs w:val="24"/>
    </w:rPr>
  </w:style>
  <w:style w:type="paragraph" w:styleId="Quote">
    <w:name w:val="Quote"/>
    <w:basedOn w:val="Normal"/>
    <w:next w:val="Normal"/>
    <w:link w:val="QuoteChar"/>
    <w:uiPriority w:val="29"/>
    <w:qFormat/>
    <w:rsid w:val="002866B9"/>
    <w:rPr>
      <w:i/>
      <w:iCs/>
      <w:color w:val="000000" w:themeColor="text1"/>
    </w:rPr>
  </w:style>
  <w:style w:type="character" w:customStyle="1" w:styleId="QuoteChar">
    <w:name w:val="Quote Char"/>
    <w:basedOn w:val="DefaultParagraphFont"/>
    <w:link w:val="Quote"/>
    <w:uiPriority w:val="29"/>
    <w:rsid w:val="002866B9"/>
    <w:rPr>
      <w:i/>
      <w:iCs/>
      <w:color w:val="000000" w:themeColor="text1"/>
      <w:sz w:val="24"/>
      <w:szCs w:val="24"/>
    </w:rPr>
  </w:style>
  <w:style w:type="paragraph" w:styleId="TableofAuthorities">
    <w:name w:val="table of authorities"/>
    <w:basedOn w:val="Normal"/>
    <w:next w:val="Normal"/>
    <w:rsid w:val="002866B9"/>
    <w:pPr>
      <w:ind w:left="240" w:hanging="240"/>
    </w:pPr>
  </w:style>
  <w:style w:type="paragraph" w:styleId="TableofFigures">
    <w:name w:val="table of figures"/>
    <w:basedOn w:val="Normal"/>
    <w:next w:val="Normal"/>
    <w:rsid w:val="002866B9"/>
  </w:style>
  <w:style w:type="paragraph" w:styleId="TOAHeading">
    <w:name w:val="toa heading"/>
    <w:basedOn w:val="Normal"/>
    <w:next w:val="Normal"/>
    <w:rsid w:val="002866B9"/>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2866B9"/>
    <w:pPr>
      <w:keepNext/>
      <w:keepLines/>
      <w:numPr>
        <w:numId w:val="0"/>
      </w:numPr>
      <w:spacing w:before="480" w:after="0"/>
      <w:outlineLvl w:val="9"/>
    </w:pPr>
    <w:rPr>
      <w:rFonts w:asciiTheme="majorHAnsi" w:eastAsiaTheme="majorEastAsia" w:hAnsiTheme="majorHAnsi" w:cstheme="majorBidi"/>
      <w:b/>
      <w:bCs/>
      <w:color w:val="365F91" w:themeColor="accent1" w:themeShade="BF"/>
      <w:sz w:val="28"/>
      <w:szCs w:val="28"/>
    </w:rPr>
  </w:style>
  <w:style w:type="character" w:customStyle="1" w:styleId="RSBodyTextChar">
    <w:name w:val="RS Body Text Char"/>
    <w:link w:val="RSBodyText"/>
    <w:rsid w:val="00504DD8"/>
    <w:rPr>
      <w:sz w:val="24"/>
      <w:szCs w:val="24"/>
    </w:rPr>
  </w:style>
  <w:style w:type="character" w:customStyle="1" w:styleId="SignatureChar">
    <w:name w:val="Signature Char"/>
    <w:link w:val="Signature"/>
    <w:rsid w:val="00504DD8"/>
    <w:rPr>
      <w:sz w:val="24"/>
      <w:szCs w:val="24"/>
    </w:rPr>
  </w:style>
  <w:style w:type="character" w:customStyle="1" w:styleId="FooterChar">
    <w:name w:val="Footer Char"/>
    <w:basedOn w:val="DefaultParagraphFont"/>
    <w:link w:val="Footer"/>
    <w:uiPriority w:val="99"/>
    <w:rsid w:val="000C6A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columbia.edu/" TargetMode="Externa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89348-222D-4EB0-9C14-F748D97C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2191</Words>
  <Characters>12304</Characters>
  <Application>Microsoft Office Word</Application>
  <DocSecurity>0</DocSecurity>
  <Lines>103</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2020-12-29T23:14:00Z</dcterms:modified>
</cp:coreProperties>
</file>